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00" w:before="500" w:line="276"/>
      </w:pPr>
      <w:r>
        <w:rPr>
          <w:rFonts w:ascii="Arial" w:cs="Arial" w:eastAsia="Arial" w:hAnsi="Arial"/>
          <w:color w:val="1F2937"/>
          <w:sz w:val="22"/>
          <w:szCs w:val="22"/>
        </w:rPr>
        <w:t xml:space="preserve"> </w:t>
      </w:r>
    </w:p>
    <w:p>
      <w:pPr>
        <w:spacing w:after="200" w:before="60" w:line="276"/>
        <w:jc w:val="center"/>
      </w:pPr>
      <w:r>
        <w:rPr>
          <w:rFonts w:ascii="Arial" w:cs="Arial" w:eastAsia="Arial" w:hAnsi="Arial"/>
          <w:b/>
          <w:bCs/>
          <w:color w:val="6B7280"/>
          <w:sz w:val="30"/>
          <w:szCs w:val="30"/>
        </w:rPr>
        <w:t xml:space="preserve">Beyond the Specification</w:t>
      </w:r>
    </w:p>
    <w:p>
      <w:pPr>
        <w:spacing w:after="60" w:before="60" w:line="276"/>
        <w:jc w:val="center"/>
      </w:pPr>
      <w:r>
        <w:rPr>
          <w:rFonts w:ascii="Arial" w:cs="Arial" w:eastAsia="Arial" w:hAnsi="Arial"/>
          <w:b/>
          <w:bCs/>
          <w:color w:val="6D28D9"/>
          <w:sz w:val="64"/>
          <w:szCs w:val="64"/>
        </w:rPr>
        <w:t xml:space="preserve">Aromatic Chemistry</w:t>
      </w:r>
    </w:p>
    <w:p>
      <w:pPr>
        <w:spacing w:after="200" w:before="60" w:line="276"/>
        <w:jc w:val="center"/>
      </w:pPr>
      <w:r>
        <w:rPr>
          <w:rFonts w:ascii="Arial" w:cs="Arial" w:eastAsia="Arial" w:hAnsi="Arial"/>
          <w:color w:val="6D28D9"/>
          <w:sz w:val="36"/>
          <w:szCs w:val="36"/>
        </w:rPr>
        <w:t xml:space="preserve">at university level</w:t>
      </w:r>
    </w:p>
    <w:p>
      <w:pPr>
        <w:spacing w:after="80" w:before="80"/>
        <w:jc w:val="center"/>
      </w:pPr>
      <w:r>
        <w:drawing>
          <wp:inline distT="0" distB="0" distL="0" distR="0">
            <wp:extent cx="4572000" cy="12382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4572000" cy="1238250"/>
                    </a:xfrm>
                    <a:prstGeom prst="rect">
                      <a:avLst/>
                    </a:prstGeom>
                  </pic:spPr>
                </pic:pic>
              </a:graphicData>
            </a:graphic>
          </wp:inline>
        </w:drawing>
      </w:r>
    </w:p>
    <w:p>
      <w:pPr>
        <w:spacing w:after="100" w:before="120" w:line="276"/>
      </w:pPr>
      <w:r>
        <w:rPr>
          <w:rFonts w:ascii="Arial" w:cs="Arial" w:eastAsia="Arial" w:hAnsi="Arial"/>
          <w:color w:val="1F2937"/>
          <w:sz w:val="22"/>
          <w:szCs w:val="22"/>
        </w:rPr>
        <w:t xml:space="preserve"> </w:t>
      </w:r>
    </w:p>
    <w:tbl>
      <w:tblPr>
        <w:tblW w:type="dxa" w:w="9640"/>
        <w:tblBorders>
          <w:top w:val="single" w:color="8B5CF6" w:sz="8"/>
          <w:left w:val="single" w:color="8B5CF6" w:sz="8"/>
          <w:bottom w:val="single" w:color="8B5CF6" w:sz="8"/>
          <w:right w:val="single" w:color="8B5CF6" w:sz="8"/>
          <w:insideH w:val="single" w:color="8B5CF6" w:sz="8"/>
          <w:insideV w:val="single" w:color="8B5CF6" w:sz="8"/>
        </w:tblBorders>
      </w:tblPr>
      <w:tblGrid>
        <w:gridCol w:w="9640"/>
      </w:tblGrid>
      <w:tr>
        <w:trPr>
          <w:cantSplit/>
        </w:trPr>
        <w:tc>
          <w:tcPr>
            <w:tcW w:type="dxa" w:w="9640"/>
            <w:shd w:fill="EDE9FE" w:color="auto" w:val="clear"/>
            <w:tcMar>
              <w:top w:type="dxa" w:w="100"/>
              <w:left w:type="dxa" w:w="160"/>
              <w:bottom w:type="dxa" w:w="100"/>
              <w:right w:type="dxa" w:w="160"/>
            </w:tcMar>
          </w:tcPr>
          <w:p>
            <w:pPr>
              <w:spacing w:after="60" w:before="60" w:line="276"/>
            </w:pPr>
            <w:r>
              <w:rPr>
                <w:rFonts w:ascii="Arial" w:cs="Arial" w:eastAsia="Arial" w:hAnsi="Arial"/>
                <w:b/>
                <w:bCs/>
                <w:color w:val="6D28D9"/>
                <w:sz w:val="24"/>
                <w:szCs w:val="24"/>
              </w:rPr>
              <w:t xml:space="preserve">Who this is for</w:t>
            </w:r>
          </w:p>
          <w:p>
            <w:pPr>
              <w:spacing w:after="60" w:before="60" w:line="276"/>
            </w:pPr>
            <w:r>
              <w:rPr>
                <w:rFonts w:ascii="Arial" w:cs="Arial" w:eastAsia="Arial" w:hAnsi="Arial"/>
                <w:color w:val="1F2937"/>
                <w:sz w:val="21"/>
                <w:szCs w:val="21"/>
              </w:rPr>
              <w:t xml:space="preserve">You can already do everything in OCR A 6.1.1. This pack takes the same ideas to the depth of a chemistry degree. Part A is first-year level; Part B is second-year level and beyond. Nothing here is needed for the exam — and all of it will make the exam questions feel easy.</w:t>
            </w:r>
          </w:p>
          <w:p>
            <w:pPr>
              <w:spacing w:after="60" w:before="100" w:line="276"/>
            </w:pPr>
            <w:r>
              <w:rPr>
                <w:rFonts w:ascii="Arial" w:cs="Arial" w:eastAsia="Arial" w:hAnsi="Arial"/>
                <w:b/>
                <w:bCs/>
                <w:color w:val="6D28D9"/>
                <w:sz w:val="24"/>
                <w:szCs w:val="24"/>
              </w:rPr>
              <w:t xml:space="preserve">How to use it</w:t>
            </w:r>
          </w:p>
          <w:p>
            <w:pPr>
              <w:spacing w:after="60" w:before="60" w:line="276"/>
            </w:pPr>
            <w:r>
              <w:rPr>
                <w:rFonts w:ascii="Arial" w:cs="Arial" w:eastAsia="Arial" w:hAnsi="Arial"/>
                <w:color w:val="1F2937"/>
                <w:sz w:val="21"/>
                <w:szCs w:val="21"/>
              </w:rPr>
              <w:t xml:space="preserve">Read a section, then attempt its problems on paper before turning to the worked answers at the back. Every section ends with a short reading list; Section 18 is a full guide to reading beyond the course. Difficulty:  </w:t>
            </w:r>
            <w:r>
              <w:rPr>
                <w:rFonts w:ascii="Arial" w:cs="Arial" w:eastAsia="Arial" w:hAnsi="Arial"/>
                <w:b/>
                <w:bCs/>
                <w:color w:val="D97706"/>
                <w:sz w:val="21"/>
                <w:szCs w:val="21"/>
              </w:rPr>
              <w:t xml:space="preserve">★</w:t>
            </w:r>
            <w:r>
              <w:rPr>
                <w:rFonts w:ascii="Arial" w:cs="Arial" w:eastAsia="Arial" w:hAnsi="Arial"/>
                <w:color w:val="1F2937"/>
                <w:sz w:val="21"/>
                <w:szCs w:val="21"/>
              </w:rPr>
              <w:t xml:space="preserve"> first-year   </w:t>
            </w:r>
            <w:r>
              <w:rPr>
                <w:rFonts w:ascii="Arial" w:cs="Arial" w:eastAsia="Arial" w:hAnsi="Arial"/>
                <w:b/>
                <w:bCs/>
                <w:color w:val="D97706"/>
                <w:sz w:val="21"/>
                <w:szCs w:val="21"/>
              </w:rPr>
              <w:t xml:space="preserve">★★</w:t>
            </w:r>
            <w:r>
              <w:rPr>
                <w:rFonts w:ascii="Arial" w:cs="Arial" w:eastAsia="Arial" w:hAnsi="Arial"/>
                <w:color w:val="1F2937"/>
                <w:sz w:val="21"/>
                <w:szCs w:val="21"/>
              </w:rPr>
              <w:t xml:space="preserve"> second-year   </w:t>
            </w:r>
            <w:r>
              <w:rPr>
                <w:rFonts w:ascii="Arial" w:cs="Arial" w:eastAsia="Arial" w:hAnsi="Arial"/>
                <w:b/>
                <w:bCs/>
                <w:color w:val="D97706"/>
                <w:sz w:val="21"/>
                <w:szCs w:val="21"/>
              </w:rPr>
              <w:t xml:space="preserve">★★★</w:t>
            </w:r>
            <w:r>
              <w:rPr>
                <w:rFonts w:ascii="Arial" w:cs="Arial" w:eastAsia="Arial" w:hAnsi="Arial"/>
                <w:color w:val="1F2937"/>
                <w:sz w:val="21"/>
                <w:szCs w:val="21"/>
              </w:rPr>
              <w:t xml:space="preserve"> open-ended / research level.</w:t>
            </w:r>
          </w:p>
        </w:tc>
      </w:tr>
    </w:tbl>
    <w:p>
      <w:pPr>
        <w:pageBreakBefore/>
        <w:spacing w:after="0" w:before="0" w:line="20"/>
      </w:pPr>
      <w:r>
        <w:rPr>
          <w:sz w:val="2"/>
          <w:szCs w:val="2"/>
        </w:rPr>
        <w:t xml:space="preserve"/>
      </w:r>
    </w:p>
    <w:p>
      <w:pPr>
        <w:spacing w:after="160" w:before="0" w:line="276"/>
      </w:pPr>
      <w:r>
        <w:rPr>
          <w:rFonts w:ascii="Arial" w:cs="Arial" w:eastAsia="Arial" w:hAnsi="Arial"/>
          <w:b/>
          <w:bCs/>
          <w:color w:val="6D28D9"/>
          <w:sz w:val="36"/>
          <w:szCs w:val="36"/>
        </w:rPr>
        <w:t xml:space="preserve">Contents</w:t>
      </w:r>
    </w:p>
    <w:tbl>
      <w:tblPr>
        <w:tblW w:type="dxa" w:w="9640"/>
        <w:tblBorders>
          <w:top w:val="single" w:color="8B5CF6" w:sz="8"/>
          <w:left w:val="single" w:color="8B5CF6" w:sz="8"/>
          <w:bottom w:val="single" w:color="8B5CF6" w:sz="8"/>
          <w:right w:val="single" w:color="8B5CF6" w:sz="8"/>
          <w:insideH w:val="single" w:color="8B5CF6" w:sz="8"/>
          <w:insideV w:val="single" w:color="8B5CF6" w:sz="8"/>
        </w:tblBorders>
      </w:tblPr>
      <w:tblGrid>
        <w:gridCol w:w="9640"/>
      </w:tblGrid>
      <w:tr>
        <w:trPr>
          <w:cantSplit/>
        </w:trPr>
        <w:tc>
          <w:tcPr>
            <w:tcW w:type="dxa" w:w="9640"/>
            <w:shd w:fill="EDE9FE" w:color="auto" w:val="clear"/>
            <w:tcMar>
              <w:top w:type="dxa" w:w="100"/>
              <w:left w:type="dxa" w:w="160"/>
              <w:bottom w:type="dxa" w:w="100"/>
              <w:right w:type="dxa" w:w="160"/>
            </w:tcMar>
          </w:tcPr>
          <w:p>
            <w:pPr>
              <w:spacing w:after="60" w:before="0" w:line="276"/>
            </w:pPr>
            <w:r>
              <w:rPr>
                <w:rFonts w:ascii="Arial" w:cs="Arial" w:eastAsia="Arial" w:hAnsi="Arial"/>
                <w:b/>
                <w:bCs/>
                <w:color w:val="6D28D9"/>
                <w:sz w:val="24"/>
                <w:szCs w:val="24"/>
              </w:rPr>
              <w:t xml:space="preserve">Part A — first-year undergraduate</w:t>
            </w:r>
            <w:r>
              <w:rPr>
                <w:rFonts w:ascii="Arial" w:cs="Arial" w:eastAsia="Arial" w:hAnsi="Arial"/>
                <w:color w:val="6B7280"/>
                <w:sz w:val="19"/>
                <w:szCs w:val="19"/>
              </w:rPr>
              <w:t xml:space="preserve">   21 problems ★</w:t>
            </w:r>
          </w:p>
          <w:p>
            <w:pPr>
              <w:spacing w:after="16" w:before="16" w:line="276"/>
            </w:pPr>
            <w:r>
              <w:rPr>
                <w:rFonts w:ascii="Arial" w:cs="Arial" w:eastAsia="Arial" w:hAnsi="Arial"/>
                <w:b/>
                <w:bCs/>
                <w:color w:val="6D28D9"/>
                <w:sz w:val="21"/>
                <w:szCs w:val="21"/>
              </w:rPr>
              <w:t xml:space="preserve">1.  </w:t>
            </w:r>
            <w:r>
              <w:rPr>
                <w:rFonts w:ascii="Arial" w:cs="Arial" w:eastAsia="Arial" w:hAnsi="Arial"/>
                <w:color w:val="1F2937"/>
                <w:sz w:val="21"/>
                <w:szCs w:val="21"/>
              </w:rPr>
              <w:t xml:space="preserve">What makes a ring aromatic?</w:t>
            </w:r>
          </w:p>
          <w:p>
            <w:pPr>
              <w:spacing w:after="16" w:before="16" w:line="276"/>
            </w:pPr>
            <w:r>
              <w:rPr>
                <w:rFonts w:ascii="Arial" w:cs="Arial" w:eastAsia="Arial" w:hAnsi="Arial"/>
                <w:b/>
                <w:bCs/>
                <w:color w:val="6D28D9"/>
                <w:sz w:val="21"/>
                <w:szCs w:val="21"/>
              </w:rPr>
              <w:t xml:space="preserve">2.  </w:t>
            </w:r>
            <w:r>
              <w:rPr>
                <w:rFonts w:ascii="Arial" w:cs="Arial" w:eastAsia="Arial" w:hAnsi="Arial"/>
                <w:color w:val="1F2937"/>
                <w:sz w:val="21"/>
                <w:szCs w:val="21"/>
              </w:rPr>
              <w:t xml:space="preserve">Resonance energy and the ring current</w:t>
            </w:r>
          </w:p>
          <w:p>
            <w:pPr>
              <w:spacing w:after="16" w:before="16" w:line="276"/>
            </w:pPr>
            <w:r>
              <w:rPr>
                <w:rFonts w:ascii="Arial" w:cs="Arial" w:eastAsia="Arial" w:hAnsi="Arial"/>
                <w:b/>
                <w:bCs/>
                <w:color w:val="6D28D9"/>
                <w:sz w:val="21"/>
                <w:szCs w:val="21"/>
              </w:rPr>
              <w:t xml:space="preserve">3.  </w:t>
            </w:r>
            <w:r>
              <w:rPr>
                <w:rFonts w:ascii="Arial" w:cs="Arial" w:eastAsia="Arial" w:hAnsi="Arial"/>
                <w:color w:val="1F2937"/>
                <w:sz w:val="21"/>
                <w:szCs w:val="21"/>
              </w:rPr>
              <w:t xml:space="preserve">The Wheland intermediate and the energy profile</w:t>
            </w:r>
          </w:p>
          <w:p>
            <w:pPr>
              <w:spacing w:after="16" w:before="16" w:line="276"/>
            </w:pPr>
            <w:r>
              <w:rPr>
                <w:rFonts w:ascii="Arial" w:cs="Arial" w:eastAsia="Arial" w:hAnsi="Arial"/>
                <w:b/>
                <w:bCs/>
                <w:color w:val="6D28D9"/>
                <w:sz w:val="21"/>
                <w:szCs w:val="21"/>
              </w:rPr>
              <w:t xml:space="preserve">4.  </w:t>
            </w:r>
            <w:r>
              <w:rPr>
                <w:rFonts w:ascii="Arial" w:cs="Arial" w:eastAsia="Arial" w:hAnsi="Arial"/>
                <w:color w:val="1F2937"/>
                <w:sz w:val="21"/>
                <w:szCs w:val="21"/>
              </w:rPr>
              <w:t xml:space="preserve">Directing effects — the real reason</w:t>
            </w:r>
          </w:p>
          <w:p>
            <w:pPr>
              <w:spacing w:after="16" w:before="16" w:line="276"/>
            </w:pPr>
            <w:r>
              <w:rPr>
                <w:rFonts w:ascii="Arial" w:cs="Arial" w:eastAsia="Arial" w:hAnsi="Arial"/>
                <w:b/>
                <w:bCs/>
                <w:color w:val="6D28D9"/>
                <w:sz w:val="21"/>
                <w:szCs w:val="21"/>
              </w:rPr>
              <w:t xml:space="preserve">5.  </w:t>
            </w:r>
            <w:r>
              <w:rPr>
                <w:rFonts w:ascii="Arial" w:cs="Arial" w:eastAsia="Arial" w:hAnsi="Arial"/>
                <w:color w:val="1F2937"/>
                <w:sz w:val="21"/>
                <w:szCs w:val="21"/>
              </w:rPr>
              <w:t xml:space="preserve">Friedel–Crafts — the fine print</w:t>
            </w:r>
          </w:p>
          <w:p>
            <w:pPr>
              <w:spacing w:after="16" w:before="16" w:line="276"/>
            </w:pPr>
            <w:r>
              <w:rPr>
                <w:rFonts w:ascii="Arial" w:cs="Arial" w:eastAsia="Arial" w:hAnsi="Arial"/>
                <w:b/>
                <w:bCs/>
                <w:color w:val="6D28D9"/>
                <w:sz w:val="21"/>
                <w:szCs w:val="21"/>
              </w:rPr>
              <w:t xml:space="preserve">6.  </w:t>
            </w:r>
            <w:r>
              <w:rPr>
                <w:rFonts w:ascii="Arial" w:cs="Arial" w:eastAsia="Arial" w:hAnsi="Arial"/>
                <w:color w:val="1F2937"/>
                <w:sz w:val="21"/>
                <w:szCs w:val="21"/>
              </w:rPr>
              <w:t xml:space="preserve">Phenol: acidity, the Kolbe–Schmitt reaction and aspirin</w:t>
            </w:r>
          </w:p>
          <w:p>
            <w:pPr>
              <w:spacing w:after="16" w:before="16" w:line="276"/>
            </w:pPr>
            <w:r>
              <w:rPr>
                <w:rFonts w:ascii="Arial" w:cs="Arial" w:eastAsia="Arial" w:hAnsi="Arial"/>
                <w:b/>
                <w:bCs/>
                <w:color w:val="6D28D9"/>
                <w:sz w:val="21"/>
                <w:szCs w:val="21"/>
              </w:rPr>
              <w:t xml:space="preserve">7.  </w:t>
            </w:r>
            <w:r>
              <w:rPr>
                <w:rFonts w:ascii="Arial" w:cs="Arial" w:eastAsia="Arial" w:hAnsi="Arial"/>
                <w:color w:val="1F2937"/>
                <w:sz w:val="21"/>
                <w:szCs w:val="21"/>
              </w:rPr>
              <w:t xml:space="preserve">Nucleophilic aromatic substitution and benzyne</w:t>
            </w:r>
          </w:p>
        </w:tc>
      </w:tr>
    </w:tbl>
    <w:p>
      <w:pPr>
        <w:spacing w:after="60" w:before="0" w:line="276"/>
      </w:pPr>
      <w:r>
        <w:rPr>
          <w:rFonts w:ascii="Arial" w:cs="Arial" w:eastAsia="Arial" w:hAnsi="Arial"/>
          <w:color w:val="1F2937"/>
          <w:sz w:val="22"/>
          <w:szCs w:val="22"/>
        </w:rPr>
        <w:t xml:space="preserve"> </w:t>
      </w:r>
    </w:p>
    <w:tbl>
      <w:tblPr>
        <w:tblW w:type="dxa" w:w="9640"/>
        <w:tblBorders>
          <w:top w:val="single" w:color="6366F1" w:sz="8"/>
          <w:left w:val="single" w:color="6366F1" w:sz="8"/>
          <w:bottom w:val="single" w:color="6366F1" w:sz="8"/>
          <w:right w:val="single" w:color="6366F1" w:sz="8"/>
          <w:insideH w:val="single" w:color="6366F1" w:sz="8"/>
          <w:insideV w:val="single" w:color="6366F1" w:sz="8"/>
        </w:tblBorders>
      </w:tblPr>
      <w:tblGrid>
        <w:gridCol w:w="9640"/>
      </w:tblGrid>
      <w:tr>
        <w:trPr>
          <w:cantSplit/>
        </w:trPr>
        <w:tc>
          <w:tcPr>
            <w:tcW w:type="dxa" w:w="9640"/>
            <w:shd w:fill="E0E7FF" w:color="auto" w:val="clear"/>
            <w:tcMar>
              <w:top w:type="dxa" w:w="100"/>
              <w:left w:type="dxa" w:w="160"/>
              <w:bottom w:type="dxa" w:w="100"/>
              <w:right w:type="dxa" w:w="160"/>
            </w:tcMar>
          </w:tcPr>
          <w:p>
            <w:pPr>
              <w:spacing w:after="60" w:before="0" w:line="276"/>
            </w:pPr>
            <w:r>
              <w:rPr>
                <w:rFonts w:ascii="Arial" w:cs="Arial" w:eastAsia="Arial" w:hAnsi="Arial"/>
                <w:b/>
                <w:bCs/>
                <w:color w:val="312E81"/>
                <w:sz w:val="24"/>
                <w:szCs w:val="24"/>
              </w:rPr>
              <w:t xml:space="preserve">Part B — second-year undergraduate</w:t>
            </w:r>
            <w:r>
              <w:rPr>
                <w:rFonts w:ascii="Arial" w:cs="Arial" w:eastAsia="Arial" w:hAnsi="Arial"/>
                <w:color w:val="6B7280"/>
                <w:sz w:val="19"/>
                <w:szCs w:val="19"/>
              </w:rPr>
              <w:t xml:space="preserve">   42 problems ★★ / ★★★</w:t>
            </w:r>
          </w:p>
          <w:p>
            <w:pPr>
              <w:spacing w:after="16" w:before="16" w:line="276"/>
            </w:pPr>
            <w:r>
              <w:rPr>
                <w:rFonts w:ascii="Arial" w:cs="Arial" w:eastAsia="Arial" w:hAnsi="Arial"/>
                <w:b/>
                <w:bCs/>
                <w:color w:val="312E81"/>
                <w:sz w:val="21"/>
                <w:szCs w:val="21"/>
              </w:rPr>
              <w:t xml:space="preserve">8.  </w:t>
            </w:r>
            <w:r>
              <w:rPr>
                <w:rFonts w:ascii="Arial" w:cs="Arial" w:eastAsia="Arial" w:hAnsi="Arial"/>
                <w:color w:val="1F2937"/>
                <w:sz w:val="21"/>
                <w:szCs w:val="21"/>
              </w:rPr>
              <w:t xml:space="preserve">Hückel molecular orbital theory — with numbers</w:t>
            </w:r>
          </w:p>
          <w:p>
            <w:pPr>
              <w:spacing w:after="16" w:before="16" w:line="276"/>
            </w:pPr>
            <w:r>
              <w:rPr>
                <w:rFonts w:ascii="Arial" w:cs="Arial" w:eastAsia="Arial" w:hAnsi="Arial"/>
                <w:b/>
                <w:bCs/>
                <w:color w:val="312E81"/>
                <w:sz w:val="21"/>
                <w:szCs w:val="21"/>
              </w:rPr>
              <w:t xml:space="preserve">9.  </w:t>
            </w:r>
            <w:r>
              <w:rPr>
                <w:rFonts w:ascii="Arial" w:cs="Arial" w:eastAsia="Arial" w:hAnsi="Arial"/>
                <w:color w:val="1F2937"/>
                <w:sz w:val="21"/>
                <w:szCs w:val="21"/>
              </w:rPr>
              <w:t xml:space="preserve">Linear free-energy relationships: the Hammett equation</w:t>
            </w:r>
          </w:p>
          <w:p>
            <w:pPr>
              <w:spacing w:after="16" w:before="16" w:line="276"/>
            </w:pPr>
            <w:r>
              <w:rPr>
                <w:rFonts w:ascii="Arial" w:cs="Arial" w:eastAsia="Arial" w:hAnsi="Arial"/>
                <w:b/>
                <w:bCs/>
                <w:color w:val="312E81"/>
                <w:sz w:val="21"/>
                <w:szCs w:val="21"/>
              </w:rPr>
              <w:t xml:space="preserve">10.  </w:t>
            </w:r>
            <w:r>
              <w:rPr>
                <w:rFonts w:ascii="Arial" w:cs="Arial" w:eastAsia="Arial" w:hAnsi="Arial"/>
                <w:color w:val="1F2937"/>
                <w:sz w:val="21"/>
                <w:szCs w:val="21"/>
              </w:rPr>
              <w:t xml:space="preserve">Electrophilic substitution at research depth</w:t>
            </w:r>
          </w:p>
          <w:p>
            <w:pPr>
              <w:spacing w:after="16" w:before="16" w:line="276"/>
            </w:pPr>
            <w:r>
              <w:rPr>
                <w:rFonts w:ascii="Arial" w:cs="Arial" w:eastAsia="Arial" w:hAnsi="Arial"/>
                <w:b/>
                <w:bCs/>
                <w:color w:val="312E81"/>
                <w:sz w:val="21"/>
                <w:szCs w:val="21"/>
              </w:rPr>
              <w:t xml:space="preserve">11.  </w:t>
            </w:r>
            <w:r>
              <w:rPr>
                <w:rFonts w:ascii="Arial" w:cs="Arial" w:eastAsia="Arial" w:hAnsi="Arial"/>
                <w:color w:val="1F2937"/>
                <w:sz w:val="21"/>
                <w:szCs w:val="21"/>
              </w:rPr>
              <w:t xml:space="preserve">Regioselectivity, blocking groups and diazonium chemistry</w:t>
            </w:r>
          </w:p>
          <w:p>
            <w:pPr>
              <w:spacing w:after="16" w:before="16" w:line="276"/>
            </w:pPr>
            <w:r>
              <w:rPr>
                <w:rFonts w:ascii="Arial" w:cs="Arial" w:eastAsia="Arial" w:hAnsi="Arial"/>
                <w:b/>
                <w:bCs/>
                <w:color w:val="312E81"/>
                <w:sz w:val="21"/>
                <w:szCs w:val="21"/>
              </w:rPr>
              <w:t xml:space="preserve">12.  </w:t>
            </w:r>
            <w:r>
              <w:rPr>
                <w:rFonts w:ascii="Arial" w:cs="Arial" w:eastAsia="Arial" w:hAnsi="Arial"/>
                <w:color w:val="1F2937"/>
                <w:sz w:val="21"/>
                <w:szCs w:val="21"/>
              </w:rPr>
              <w:t xml:space="preserve">Named reactions and rearrangements of aromatic compounds</w:t>
            </w:r>
          </w:p>
          <w:p>
            <w:pPr>
              <w:spacing w:after="16" w:before="16" w:line="276"/>
            </w:pPr>
            <w:r>
              <w:rPr>
                <w:rFonts w:ascii="Arial" w:cs="Arial" w:eastAsia="Arial" w:hAnsi="Arial"/>
                <w:b/>
                <w:bCs/>
                <w:color w:val="312E81"/>
                <w:sz w:val="21"/>
                <w:szCs w:val="21"/>
              </w:rPr>
              <w:t xml:space="preserve">13.  </w:t>
            </w:r>
            <w:r>
              <w:rPr>
                <w:rFonts w:ascii="Arial" w:cs="Arial" w:eastAsia="Arial" w:hAnsi="Arial"/>
                <w:color w:val="1F2937"/>
                <w:sz w:val="21"/>
                <w:szCs w:val="21"/>
              </w:rPr>
              <w:t xml:space="preserve">Making aromatic bonds the modern way: SNAr in depth, benzyne, cross-coupling and directed metalation</w:t>
            </w:r>
          </w:p>
          <w:p>
            <w:pPr>
              <w:spacing w:after="16" w:before="16" w:line="276"/>
            </w:pPr>
            <w:r>
              <w:rPr>
                <w:rFonts w:ascii="Arial" w:cs="Arial" w:eastAsia="Arial" w:hAnsi="Arial"/>
                <w:b/>
                <w:bCs/>
                <w:color w:val="312E81"/>
                <w:sz w:val="21"/>
                <w:szCs w:val="21"/>
              </w:rPr>
              <w:t xml:space="preserve">14.  </w:t>
            </w:r>
            <w:r>
              <w:rPr>
                <w:rFonts w:ascii="Arial" w:cs="Arial" w:eastAsia="Arial" w:hAnsi="Arial"/>
                <w:color w:val="1F2937"/>
                <w:sz w:val="21"/>
                <w:szCs w:val="21"/>
              </w:rPr>
              <w:t xml:space="preserve">Aromatic heterocycles</w:t>
            </w:r>
          </w:p>
          <w:p>
            <w:pPr>
              <w:spacing w:after="16" w:before="16" w:line="276"/>
            </w:pPr>
            <w:r>
              <w:rPr>
                <w:rFonts w:ascii="Arial" w:cs="Arial" w:eastAsia="Arial" w:hAnsi="Arial"/>
                <w:b/>
                <w:bCs/>
                <w:color w:val="312E81"/>
                <w:sz w:val="21"/>
                <w:szCs w:val="21"/>
              </w:rPr>
              <w:t xml:space="preserve">15.  </w:t>
            </w:r>
            <w:r>
              <w:rPr>
                <w:rFonts w:ascii="Arial" w:cs="Arial" w:eastAsia="Arial" w:hAnsi="Arial"/>
                <w:color w:val="1F2937"/>
                <w:sz w:val="21"/>
                <w:szCs w:val="21"/>
              </w:rPr>
              <w:t xml:space="preserve">Spectroscopy of aromatic rings</w:t>
            </w:r>
          </w:p>
          <w:p>
            <w:pPr>
              <w:spacing w:after="16" w:before="16" w:line="276"/>
            </w:pPr>
            <w:r>
              <w:rPr>
                <w:rFonts w:ascii="Arial" w:cs="Arial" w:eastAsia="Arial" w:hAnsi="Arial"/>
                <w:b/>
                <w:bCs/>
                <w:color w:val="312E81"/>
                <w:sz w:val="21"/>
                <w:szCs w:val="21"/>
              </w:rPr>
              <w:t xml:space="preserve">16.  </w:t>
            </w:r>
            <w:r>
              <w:rPr>
                <w:rFonts w:ascii="Arial" w:cs="Arial" w:eastAsia="Arial" w:hAnsi="Arial"/>
                <w:color w:val="1F2937"/>
                <w:sz w:val="21"/>
                <w:szCs w:val="21"/>
              </w:rPr>
              <w:t xml:space="preserve">Frontiers: what 'aromatic' means today</w:t>
            </w:r>
          </w:p>
        </w:tc>
      </w:tr>
    </w:tbl>
    <w:p>
      <w:pPr>
        <w:spacing w:after="60" w:before="0" w:line="276"/>
      </w:pPr>
      <w:r>
        <w:rPr>
          <w:rFonts w:ascii="Arial" w:cs="Arial" w:eastAsia="Arial" w:hAnsi="Arial"/>
          <w:color w:val="1F2937"/>
          <w:sz w:val="22"/>
          <w:szCs w:val="22"/>
        </w:rPr>
        <w:t xml:space="preserve"> </w:t>
      </w:r>
    </w:p>
    <w:tbl>
      <w:tblPr>
        <w:tblW w:type="dxa" w:w="9640"/>
        <w:tblBorders>
          <w:top w:val="single" w:color="FB7185" w:sz="8"/>
          <w:left w:val="single" w:color="FB7185" w:sz="8"/>
          <w:bottom w:val="single" w:color="FB7185" w:sz="8"/>
          <w:right w:val="single" w:color="FB7185" w:sz="8"/>
          <w:insideH w:val="single" w:color="FB7185" w:sz="8"/>
          <w:insideV w:val="single" w:color="FB7185" w:sz="8"/>
        </w:tblBorders>
      </w:tblPr>
      <w:tblGrid>
        <w:gridCol w:w="9640"/>
      </w:tblGrid>
      <w:tr>
        <w:trPr>
          <w:cantSplit/>
        </w:trPr>
        <w:tc>
          <w:tcPr>
            <w:tcW w:type="dxa" w:w="9640"/>
            <w:shd w:fill="FFE4E6" w:color="auto" w:val="clear"/>
            <w:tcMar>
              <w:top w:type="dxa" w:w="100"/>
              <w:left w:type="dxa" w:w="160"/>
              <w:bottom w:type="dxa" w:w="100"/>
              <w:right w:type="dxa" w:w="160"/>
            </w:tcMar>
          </w:tcPr>
          <w:p>
            <w:pPr>
              <w:spacing w:after="60" w:before="0" w:line="276"/>
            </w:pPr>
            <w:r>
              <w:rPr>
                <w:rFonts w:ascii="Arial" w:cs="Arial" w:eastAsia="Arial" w:hAnsi="Arial"/>
                <w:b/>
                <w:bCs/>
                <w:color w:val="BE123C"/>
                <w:sz w:val="24"/>
                <w:szCs w:val="24"/>
              </w:rPr>
              <w:t xml:space="preserve">Challenge and reading</w:t>
            </w:r>
            <w:r>
              <w:rPr>
                <w:rFonts w:ascii="Arial" w:cs="Arial" w:eastAsia="Arial" w:hAnsi="Arial"/>
                <w:color w:val="6B7280"/>
                <w:sz w:val="19"/>
                <w:szCs w:val="19"/>
              </w:rPr>
              <w:t xml:space="preserve">   </w:t>
            </w:r>
          </w:p>
          <w:p>
            <w:pPr>
              <w:spacing w:after="16" w:before="16" w:line="276"/>
            </w:pPr>
            <w:r>
              <w:rPr>
                <w:rFonts w:ascii="Arial" w:cs="Arial" w:eastAsia="Arial" w:hAnsi="Arial"/>
                <w:b/>
                <w:bCs/>
                <w:color w:val="BE123C"/>
                <w:sz w:val="21"/>
                <w:szCs w:val="21"/>
              </w:rPr>
              <w:t xml:space="preserve">17.  </w:t>
            </w:r>
            <w:r>
              <w:rPr>
                <w:rFonts w:ascii="Arial" w:cs="Arial" w:eastAsia="Arial" w:hAnsi="Arial"/>
                <w:color w:val="1F2937"/>
                <w:sz w:val="21"/>
                <w:szCs w:val="21"/>
              </w:rPr>
              <w:t xml:space="preserve">Challenge problems</w:t>
            </w:r>
          </w:p>
          <w:p>
            <w:pPr>
              <w:spacing w:after="16" w:before="16" w:line="276"/>
            </w:pPr>
            <w:r>
              <w:rPr>
                <w:rFonts w:ascii="Arial" w:cs="Arial" w:eastAsia="Arial" w:hAnsi="Arial"/>
                <w:b/>
                <w:bCs/>
                <w:color w:val="BE123C"/>
                <w:sz w:val="21"/>
                <w:szCs w:val="21"/>
              </w:rPr>
              <w:t xml:space="preserve">18.  </w:t>
            </w:r>
            <w:r>
              <w:rPr>
                <w:rFonts w:ascii="Arial" w:cs="Arial" w:eastAsia="Arial" w:hAnsi="Arial"/>
                <w:color w:val="1F2937"/>
                <w:sz w:val="21"/>
                <w:szCs w:val="21"/>
              </w:rPr>
              <w:t xml:space="preserve">Reading beyond the course</w:t>
            </w:r>
          </w:p>
        </w:tc>
      </w:tr>
    </w:tbl>
    <w:p>
      <w:pPr>
        <w:spacing w:after="60" w:before="0" w:line="276"/>
      </w:pPr>
      <w:r>
        <w:rPr>
          <w:rFonts w:ascii="Arial" w:cs="Arial" w:eastAsia="Arial" w:hAnsi="Arial"/>
          <w:color w:val="1F2937"/>
          <w:sz w:val="22"/>
          <w:szCs w:val="22"/>
        </w:rPr>
        <w:t xml:space="preserve"> </w:t>
      </w:r>
    </w:p>
    <w:tbl>
      <w:tblPr>
        <w:tblW w:type="dxa" w:w="9640"/>
        <w:tblBorders>
          <w:top w:val="single" w:color="4ADE80" w:sz="8"/>
          <w:left w:val="single" w:color="4ADE80" w:sz="8"/>
          <w:bottom w:val="single" w:color="4ADE80" w:sz="8"/>
          <w:right w:val="single" w:color="4ADE80" w:sz="8"/>
          <w:insideH w:val="single" w:color="4ADE80" w:sz="8"/>
          <w:insideV w:val="single" w:color="4ADE80" w:sz="8"/>
        </w:tblBorders>
      </w:tblPr>
      <w:tblGrid>
        <w:gridCol w:w="9640"/>
      </w:tblGrid>
      <w:tr>
        <w:trPr>
          <w:cantSplit/>
        </w:trPr>
        <w:tc>
          <w:tcPr>
            <w:tcW w:type="dxa" w:w="9640"/>
            <w:shd w:fill="DCFCE7" w:color="auto" w:val="clear"/>
            <w:tcMar>
              <w:top w:type="dxa" w:w="100"/>
              <w:left w:type="dxa" w:w="160"/>
              <w:bottom w:type="dxa" w:w="100"/>
              <w:right w:type="dxa" w:w="160"/>
            </w:tcMar>
          </w:tcPr>
          <w:p>
            <w:pPr>
              <w:spacing w:after="0" w:before="0" w:line="276"/>
            </w:pPr>
            <w:r>
              <w:rPr>
                <w:rFonts w:ascii="Arial" w:cs="Arial" w:eastAsia="Arial" w:hAnsi="Arial"/>
                <w:b/>
                <w:bCs/>
                <w:color w:val="15803D"/>
                <w:sz w:val="24"/>
                <w:szCs w:val="24"/>
              </w:rPr>
              <w:t xml:space="preserve">Worked answers</w:t>
            </w:r>
            <w:r>
              <w:rPr>
                <w:rFonts w:ascii="Arial" w:cs="Arial" w:eastAsia="Arial" w:hAnsi="Arial"/>
                <w:color w:val="6B7280"/>
                <w:sz w:val="19"/>
                <w:szCs w:val="19"/>
              </w:rPr>
              <w:t xml:space="preserve">   all 72 problems, at the back</w:t>
            </w:r>
          </w:p>
        </w:tc>
      </w:tr>
    </w:tbl>
    <w:p>
      <w:pPr>
        <w:pageBreakBefore/>
        <w:spacing w:after="0" w:before="0" w:line="20"/>
      </w:pPr>
      <w:r>
        <w:rPr>
          <w:sz w:val="2"/>
          <w:szCs w:val="2"/>
        </w:rPr>
        <w:t xml:space="preserve"/>
      </w:r>
    </w:p>
    <w:p>
      <w:pPr>
        <w:spacing w:after="100" w:before="1400" w:line="276"/>
      </w:pPr>
      <w:r>
        <w:rPr>
          <w:rFonts w:ascii="Arial" w:cs="Arial" w:eastAsia="Arial" w:hAnsi="Arial"/>
          <w:color w:val="1F2937"/>
          <w:sz w:val="22"/>
          <w:szCs w:val="22"/>
        </w:rPr>
        <w:t xml:space="preserve"> </w:t>
      </w:r>
    </w:p>
    <w:p>
      <w:pPr>
        <w:spacing w:after="40" w:before="60" w:line="276"/>
        <w:jc w:val="center"/>
      </w:pPr>
      <w:r>
        <w:rPr>
          <w:rFonts w:ascii="Arial" w:cs="Arial" w:eastAsia="Arial" w:hAnsi="Arial"/>
          <w:b/>
          <w:bCs/>
          <w:color w:val="6D28D9"/>
          <w:sz w:val="72"/>
          <w:szCs w:val="72"/>
        </w:rPr>
        <w:t xml:space="preserve">Part A</w:t>
      </w:r>
    </w:p>
    <w:p>
      <w:pPr>
        <w:spacing w:after="300" w:before="60" w:line="276"/>
        <w:jc w:val="center"/>
      </w:pPr>
      <w:r>
        <w:rPr>
          <w:rFonts w:ascii="Arial" w:cs="Arial" w:eastAsia="Arial" w:hAnsi="Arial"/>
          <w:color w:val="6D28D9"/>
          <w:sz w:val="34"/>
          <w:szCs w:val="34"/>
        </w:rPr>
        <w:t xml:space="preserve">First-year undergraduate level</w:t>
      </w:r>
    </w:p>
    <w:tbl>
      <w:tblPr>
        <w:tblW w:type="dxa" w:w="9640"/>
        <w:tblBorders>
          <w:top w:val="single" w:color="8B5CF6" w:sz="8"/>
          <w:left w:val="single" w:color="8B5CF6" w:sz="8"/>
          <w:bottom w:val="single" w:color="8B5CF6" w:sz="8"/>
          <w:right w:val="single" w:color="8B5CF6" w:sz="8"/>
          <w:insideH w:val="single" w:color="8B5CF6" w:sz="8"/>
          <w:insideV w:val="single" w:color="8B5CF6" w:sz="8"/>
        </w:tblBorders>
      </w:tblPr>
      <w:tblGrid>
        <w:gridCol w:w="9640"/>
      </w:tblGrid>
      <w:tr>
        <w:trPr>
          <w:cantSplit/>
        </w:trPr>
        <w:tc>
          <w:tcPr>
            <w:tcW w:type="dxa" w:w="9640"/>
            <w:shd w:fill="EDE9FE" w:color="auto" w:val="clear"/>
            <w:tcMar>
              <w:top w:type="dxa" w:w="100"/>
              <w:left w:type="dxa" w:w="160"/>
              <w:bottom w:type="dxa" w:w="100"/>
              <w:right w:type="dxa" w:w="160"/>
            </w:tcMar>
          </w:tcPr>
          <w:p>
            <w:pPr>
              <w:spacing w:after="120" w:before="0" w:line="276"/>
            </w:pPr>
            <w:r>
              <w:rPr>
                <w:rFonts w:ascii="Arial" w:cs="Arial" w:eastAsia="Arial" w:hAnsi="Arial"/>
                <w:color w:val="1F2937"/>
                <w:sz w:val="22"/>
                <w:szCs w:val="22"/>
              </w:rPr>
              <w:t xml:space="preserve">Everything a first-year chemistry undergraduate is expected to explain about aromatic compounds: what aromaticity is, why the mechanism has the shape it has, and why substituents direct where they do. Problems marked ★.</w:t>
            </w:r>
          </w:p>
          <w:p>
            <w:pPr>
              <w:spacing w:after="60" w:before="60" w:line="276"/>
            </w:pPr>
            <w:r>
              <w:rPr>
                <w:rFonts w:ascii="Arial" w:cs="Arial" w:eastAsia="Arial" w:hAnsi="Arial"/>
                <w:b/>
                <w:bCs/>
                <w:color w:val="6D28D9"/>
                <w:sz w:val="24"/>
                <w:szCs w:val="24"/>
              </w:rPr>
              <w:t xml:space="preserve">Sections</w:t>
            </w:r>
          </w:p>
          <w:p>
            <w:pPr>
              <w:spacing w:after="20" w:before="20" w:line="276"/>
            </w:pPr>
            <w:r>
              <w:rPr>
                <w:rFonts w:ascii="Arial" w:cs="Arial" w:eastAsia="Arial" w:hAnsi="Arial"/>
                <w:b/>
                <w:bCs/>
                <w:color w:val="6D28D9"/>
                <w:sz w:val="21"/>
                <w:szCs w:val="21"/>
              </w:rPr>
              <w:t xml:space="preserve">1.  </w:t>
            </w:r>
            <w:r>
              <w:rPr>
                <w:rFonts w:ascii="Arial" w:cs="Arial" w:eastAsia="Arial" w:hAnsi="Arial"/>
                <w:color w:val="1F2937"/>
                <w:sz w:val="21"/>
                <w:szCs w:val="21"/>
              </w:rPr>
              <w:t xml:space="preserve">What makes a ring aromatic?</w:t>
            </w:r>
          </w:p>
          <w:p>
            <w:pPr>
              <w:spacing w:after="20" w:before="20" w:line="276"/>
            </w:pPr>
            <w:r>
              <w:rPr>
                <w:rFonts w:ascii="Arial" w:cs="Arial" w:eastAsia="Arial" w:hAnsi="Arial"/>
                <w:b/>
                <w:bCs/>
                <w:color w:val="6D28D9"/>
                <w:sz w:val="21"/>
                <w:szCs w:val="21"/>
              </w:rPr>
              <w:t xml:space="preserve">2.  </w:t>
            </w:r>
            <w:r>
              <w:rPr>
                <w:rFonts w:ascii="Arial" w:cs="Arial" w:eastAsia="Arial" w:hAnsi="Arial"/>
                <w:color w:val="1F2937"/>
                <w:sz w:val="21"/>
                <w:szCs w:val="21"/>
              </w:rPr>
              <w:t xml:space="preserve">Resonance energy and the ring current</w:t>
            </w:r>
          </w:p>
          <w:p>
            <w:pPr>
              <w:spacing w:after="20" w:before="20" w:line="276"/>
            </w:pPr>
            <w:r>
              <w:rPr>
                <w:rFonts w:ascii="Arial" w:cs="Arial" w:eastAsia="Arial" w:hAnsi="Arial"/>
                <w:b/>
                <w:bCs/>
                <w:color w:val="6D28D9"/>
                <w:sz w:val="21"/>
                <w:szCs w:val="21"/>
              </w:rPr>
              <w:t xml:space="preserve">3.  </w:t>
            </w:r>
            <w:r>
              <w:rPr>
                <w:rFonts w:ascii="Arial" w:cs="Arial" w:eastAsia="Arial" w:hAnsi="Arial"/>
                <w:color w:val="1F2937"/>
                <w:sz w:val="21"/>
                <w:szCs w:val="21"/>
              </w:rPr>
              <w:t xml:space="preserve">The Wheland intermediate and the energy profile</w:t>
            </w:r>
          </w:p>
          <w:p>
            <w:pPr>
              <w:spacing w:after="20" w:before="20" w:line="276"/>
            </w:pPr>
            <w:r>
              <w:rPr>
                <w:rFonts w:ascii="Arial" w:cs="Arial" w:eastAsia="Arial" w:hAnsi="Arial"/>
                <w:b/>
                <w:bCs/>
                <w:color w:val="6D28D9"/>
                <w:sz w:val="21"/>
                <w:szCs w:val="21"/>
              </w:rPr>
              <w:t xml:space="preserve">4.  </w:t>
            </w:r>
            <w:r>
              <w:rPr>
                <w:rFonts w:ascii="Arial" w:cs="Arial" w:eastAsia="Arial" w:hAnsi="Arial"/>
                <w:color w:val="1F2937"/>
                <w:sz w:val="21"/>
                <w:szCs w:val="21"/>
              </w:rPr>
              <w:t xml:space="preserve">Directing effects — the real reason</w:t>
            </w:r>
          </w:p>
          <w:p>
            <w:pPr>
              <w:spacing w:after="20" w:before="20" w:line="276"/>
            </w:pPr>
            <w:r>
              <w:rPr>
                <w:rFonts w:ascii="Arial" w:cs="Arial" w:eastAsia="Arial" w:hAnsi="Arial"/>
                <w:b/>
                <w:bCs/>
                <w:color w:val="6D28D9"/>
                <w:sz w:val="21"/>
                <w:szCs w:val="21"/>
              </w:rPr>
              <w:t xml:space="preserve">5.  </w:t>
            </w:r>
            <w:r>
              <w:rPr>
                <w:rFonts w:ascii="Arial" w:cs="Arial" w:eastAsia="Arial" w:hAnsi="Arial"/>
                <w:color w:val="1F2937"/>
                <w:sz w:val="21"/>
                <w:szCs w:val="21"/>
              </w:rPr>
              <w:t xml:space="preserve">Friedel–Crafts — the fine print</w:t>
            </w:r>
          </w:p>
          <w:p>
            <w:pPr>
              <w:spacing w:after="20" w:before="20" w:line="276"/>
            </w:pPr>
            <w:r>
              <w:rPr>
                <w:rFonts w:ascii="Arial" w:cs="Arial" w:eastAsia="Arial" w:hAnsi="Arial"/>
                <w:b/>
                <w:bCs/>
                <w:color w:val="6D28D9"/>
                <w:sz w:val="21"/>
                <w:szCs w:val="21"/>
              </w:rPr>
              <w:t xml:space="preserve">6.  </w:t>
            </w:r>
            <w:r>
              <w:rPr>
                <w:rFonts w:ascii="Arial" w:cs="Arial" w:eastAsia="Arial" w:hAnsi="Arial"/>
                <w:color w:val="1F2937"/>
                <w:sz w:val="21"/>
                <w:szCs w:val="21"/>
              </w:rPr>
              <w:t xml:space="preserve">Phenol: acidity, the Kolbe–Schmitt reaction and aspirin</w:t>
            </w:r>
          </w:p>
          <w:p>
            <w:pPr>
              <w:spacing w:after="20" w:before="20" w:line="276"/>
            </w:pPr>
            <w:r>
              <w:rPr>
                <w:rFonts w:ascii="Arial" w:cs="Arial" w:eastAsia="Arial" w:hAnsi="Arial"/>
                <w:b/>
                <w:bCs/>
                <w:color w:val="6D28D9"/>
                <w:sz w:val="21"/>
                <w:szCs w:val="21"/>
              </w:rPr>
              <w:t xml:space="preserve">7.  </w:t>
            </w:r>
            <w:r>
              <w:rPr>
                <w:rFonts w:ascii="Arial" w:cs="Arial" w:eastAsia="Arial" w:hAnsi="Arial"/>
                <w:color w:val="1F2937"/>
                <w:sz w:val="21"/>
                <w:szCs w:val="21"/>
              </w:rPr>
              <w:t xml:space="preserve">Nucleophilic aromatic substitution and benzyne</w:t>
            </w:r>
          </w:p>
        </w:tc>
      </w:tr>
    </w:tbl>
    <w:p>
      <w:pPr>
        <w:pageBreakBefore/>
        <w:spacing w:after="0" w:before="0" w:line="20"/>
      </w:pPr>
      <w:r>
        <w:rPr>
          <w:sz w:val="2"/>
          <w:szCs w:val="2"/>
        </w:rPr>
        <w:t xml:space="preserve"/>
      </w:r>
    </w:p>
    <w:tbl>
      <w:tblPr>
        <w:tblW w:type="dxa" w:w="9640"/>
        <w:tblBorders>
          <w:top w:val="none" w:color="FFFFFF" w:sz="0"/>
          <w:left w:val="none" w:color="FFFFFF" w:sz="0"/>
          <w:bottom w:val="none" w:color="FFFFFF" w:sz="0"/>
          <w:right w:val="none" w:color="FFFFFF" w:sz="0"/>
          <w:insideH w:val="none" w:color="FFFFFF" w:sz="0"/>
          <w:insideV w:val="none" w:color="FFFFFF" w:sz="0"/>
        </w:tblBorders>
      </w:tblPr>
      <w:tblGrid>
        <w:gridCol w:w="9640"/>
      </w:tblGrid>
      <w:tr>
        <w:trPr>
          <w:cantSplit/>
        </w:trPr>
        <w:tc>
          <w:tcPr>
            <w:tcW w:type="dxa" w:w="9640"/>
            <w:shd w:fill="6D28D9" w:color="auto" w:val="clear"/>
            <w:tcMar>
              <w:top w:type="dxa" w:w="160"/>
              <w:left w:type="dxa" w:w="240"/>
              <w:bottom w:type="dxa" w:w="160"/>
              <w:right w:type="dxa" w:w="240"/>
            </w:tcMar>
          </w:tcPr>
          <w:p>
            <w:pPr>
              <w:tabs>
                <w:tab w:val="right" w:pos="9160"/>
              </w:tabs>
              <w:spacing w:after="0" w:before="0" w:line="276"/>
            </w:pPr>
            <w:r>
              <w:rPr>
                <w:rFonts w:ascii="Arial" w:cs="Arial" w:eastAsia="Arial" w:hAnsi="Arial"/>
                <w:b/>
                <w:bCs/>
                <w:color w:val="FFFFFF"/>
                <w:sz w:val="22"/>
                <w:szCs w:val="22"/>
              </w:rPr>
              <w:t xml:space="preserve">Section 1</w:t>
            </w:r>
            <w:r>
              <w:rPr>
                <w:rFonts w:ascii="Arial" w:cs="Arial" w:eastAsia="Arial" w:hAnsi="Arial"/>
                <w:b/>
                <w:bCs/>
                <w:color w:val="FFFFFF"/>
                <w:sz w:val="18"/>
                <w:szCs w:val="18"/>
              </w:rPr>
              <w:t xml:space="preserve">	PART A · FIRST-YEAR UNDERGRADUATE LEVEL</w:t>
            </w:r>
          </w:p>
          <w:p>
            <w:pPr>
              <w:spacing w:after="40" w:before="40" w:line="276"/>
            </w:pPr>
            <w:r>
              <w:rPr>
                <w:rFonts w:ascii="Arial" w:cs="Arial" w:eastAsia="Arial" w:hAnsi="Arial"/>
                <w:b/>
                <w:bCs/>
                <w:color w:val="FFFFFF"/>
                <w:sz w:val="32"/>
                <w:szCs w:val="32"/>
              </w:rPr>
              <w:t xml:space="preserve">What makes a ring aromatic?</w:t>
            </w:r>
          </w:p>
          <w:p>
            <w:pPr>
              <w:spacing w:after="0" w:before="0" w:line="276"/>
            </w:pPr>
            <w:r>
              <w:rPr>
                <w:rFonts w:ascii="Arial" w:cs="Arial" w:eastAsia="Arial" w:hAnsi="Arial"/>
                <w:i/>
                <w:iCs/>
                <w:color w:val="F5F3FF"/>
                <w:sz w:val="21"/>
                <w:szCs w:val="21"/>
              </w:rPr>
              <w:t xml:space="preserve">The A-level story says 'benzene is delocalised and stable'. First-year chemistry asks the sharper question: WHICH rings are aromatic, and why is aromaticity all-or-nothing?</w:t>
            </w:r>
          </w:p>
        </w:tc>
      </w:tr>
    </w:tbl>
    <w:p>
      <w:pPr>
        <w:spacing w:after="40" w:before="0" w:line="276"/>
      </w:pPr>
      <w:r>
        <w:rPr>
          <w:rFonts w:ascii="Arial" w:cs="Arial" w:eastAsia="Arial" w:hAnsi="Arial"/>
          <w:color w:val="1F2937"/>
          <w:sz w:val="22"/>
          <w:szCs w:val="22"/>
        </w:rPr>
        <w:t xml:space="preserve"> </w:t>
      </w:r>
    </w:p>
    <w:tbl>
      <w:tblPr>
        <w:tblW w:type="dxa" w:w="9640"/>
        <w:tblBorders>
          <w:top w:val="single" w:color="14B8A6" w:sz="8"/>
          <w:left w:val="single" w:color="14B8A6" w:sz="8"/>
          <w:bottom w:val="single" w:color="14B8A6" w:sz="8"/>
          <w:right w:val="single" w:color="14B8A6" w:sz="8"/>
          <w:insideH w:val="single" w:color="14B8A6" w:sz="8"/>
          <w:insideV w:val="single" w:color="14B8A6" w:sz="8"/>
        </w:tblBorders>
      </w:tblPr>
      <w:tblGrid>
        <w:gridCol w:w="9640"/>
      </w:tblGrid>
      <w:tr>
        <w:trPr>
          <w:cantSplit/>
        </w:trPr>
        <w:tc>
          <w:tcPr>
            <w:tcW w:type="dxa" w:w="9640"/>
            <w:shd w:fill="CCFBF1" w:color="auto" w:val="clear"/>
            <w:tcMar>
              <w:top w:type="dxa" w:w="100"/>
              <w:left w:type="dxa" w:w="160"/>
              <w:bottom w:type="dxa" w:w="100"/>
              <w:right w:type="dxa" w:w="160"/>
            </w:tcMar>
          </w:tcPr>
          <w:p>
            <w:pPr>
              <w:spacing w:after="40" w:before="0" w:line="276"/>
            </w:pPr>
            <w:r>
              <w:rPr>
                <w:rFonts w:ascii="Arial" w:cs="Arial" w:eastAsia="Arial" w:hAnsi="Arial"/>
                <w:b/>
                <w:bCs/>
                <w:color w:val="0F766E"/>
                <w:sz w:val="22"/>
                <w:szCs w:val="22"/>
              </w:rPr>
              <w:t xml:space="preserve">Key facts</w:t>
            </w:r>
          </w:p>
          <w:p>
            <w:pPr>
              <w:spacing w:after="20" w:before="20" w:line="276"/>
            </w:pPr>
            <w:r>
              <w:rPr>
                <w:rFonts w:ascii="Arial" w:cs="Arial" w:eastAsia="Arial" w:hAnsi="Arial"/>
                <w:color w:val="1F2937"/>
                <w:sz w:val="21"/>
                <w:szCs w:val="21"/>
              </w:rPr>
              <w:t xml:space="preserve">•  A molecule (or ion) is aromatic if it is CYCLIC, PLANAR, FULLY CONJUGATED (a p-orbital on every ring atom) and has 4n + 2 π electrons (Hückel's rule, 1931).</w:t>
            </w:r>
          </w:p>
          <w:p>
            <w:pPr>
              <w:spacing w:after="20" w:before="20" w:line="276"/>
            </w:pPr>
            <w:r>
              <w:rPr>
                <w:rFonts w:ascii="Arial" w:cs="Arial" w:eastAsia="Arial" w:hAnsi="Arial"/>
                <w:color w:val="1F2937"/>
                <w:sz w:val="21"/>
                <w:szCs w:val="21"/>
              </w:rPr>
              <w:t xml:space="preserve">•  4n π electrons in a planar conjugated ring is ANTIaromatic — much LESS stable than the open-chain equivalent (cyclobutadiene, cyclopentadienyl cation).</w:t>
            </w:r>
          </w:p>
          <w:p>
            <w:pPr>
              <w:spacing w:after="20" w:before="20" w:line="276"/>
            </w:pPr>
            <w:r>
              <w:rPr>
                <w:rFonts w:ascii="Arial" w:cs="Arial" w:eastAsia="Arial" w:hAnsi="Arial"/>
                <w:color w:val="1F2937"/>
                <w:sz w:val="21"/>
                <w:szCs w:val="21"/>
              </w:rPr>
              <w:t xml:space="preserve">•  A ring that escapes planarity is simply NON-aromatic (cyclooctatetraene, 8 π electrons, adopts a tub shape and behaves like a polyene).</w:t>
            </w:r>
          </w:p>
          <w:p>
            <w:pPr>
              <w:spacing w:after="20" w:before="20" w:line="276"/>
            </w:pPr>
            <w:r>
              <w:rPr>
                <w:rFonts w:ascii="Arial" w:cs="Arial" w:eastAsia="Arial" w:hAnsi="Arial"/>
                <w:color w:val="1F2937"/>
                <w:sz w:val="21"/>
                <w:szCs w:val="21"/>
              </w:rPr>
              <w:t xml:space="preserve">•  Lone pairs count only if they sit in a p-orbital that is part of the ring π-system (pyrrole: yes; pyridine: no — its lone pair is in an sp² orbital in the plane).</w:t>
            </w:r>
          </w:p>
        </w:tc>
      </w:tr>
    </w:tbl>
    <w:p>
      <w:pPr>
        <w:spacing w:after="80" w:before="80"/>
        <w:jc w:val="center"/>
      </w:pPr>
      <w:r>
        <w:drawing>
          <wp:inline distT="0" distB="0" distL="0" distR="0">
            <wp:extent cx="5486400" cy="14859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486400" cy="1485900"/>
                    </a:xfrm>
                    <a:prstGeom prst="rect">
                      <a:avLst/>
                    </a:prstGeom>
                  </pic:spPr>
                </pic:pic>
              </a:graphicData>
            </a:graphic>
          </wp:inline>
        </w:drawing>
      </w:r>
    </w:p>
    <w:p>
      <w:pPr>
        <w:spacing w:after="100" w:before="0" w:line="276"/>
        <w:jc w:val="center"/>
      </w:pPr>
      <w:r>
        <w:rPr>
          <w:rFonts w:ascii="Arial" w:cs="Arial" w:eastAsia="Arial" w:hAnsi="Arial"/>
          <w:i/>
          <w:iCs/>
          <w:color w:val="6B7280"/>
          <w:sz w:val="18"/>
          <w:szCs w:val="18"/>
        </w:rPr>
        <w:t xml:space="preserve">Aromatic systems that are not benzene: naphthalene (10 π), pyridine (6 π), pyrrole (6 π, N lone pair included), tropylium cation (6 π).</w:t>
      </w:r>
    </w:p>
    <w:p>
      <w:pPr>
        <w:spacing w:after="40" w:before="60" w:line="276"/>
      </w:pPr>
      <w:r>
        <w:rPr>
          <w:rFonts w:ascii="Arial" w:cs="Arial" w:eastAsia="Arial" w:hAnsi="Arial"/>
          <w:color w:val="1F2937"/>
          <w:sz w:val="22"/>
          <w:szCs w:val="22"/>
        </w:rPr>
        <w:t xml:space="preserve">Why 4n + 2? Draw a regular polygon inscribed in a circle with one vertex at the bottom (a Frost circle). The vertices mark the energies of the π molecular orbitals. The lowest orbital is always single; the others come in degenerate pairs. Filling a closed shell (all bonding orbitals full) needs 2 + 4 + 4 + … = 4n + 2 electrons. With 4n electrons the last pair is spread singly over a degenerate pair — a diradical, which is what makes cyclobutadiene so unstable.</w:t>
      </w:r>
    </w:p>
    <w:p>
      <w:pPr>
        <w:spacing w:after="80" w:before="80"/>
        <w:jc w:val="center"/>
      </w:pPr>
      <w:r>
        <w:drawing>
          <wp:inline distT="0" distB="0" distL="0" distR="0">
            <wp:extent cx="5667375" cy="13144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667375" cy="1314450"/>
                    </a:xfrm>
                    <a:prstGeom prst="rect">
                      <a:avLst/>
                    </a:prstGeom>
                  </pic:spPr>
                </pic:pic>
              </a:graphicData>
            </a:graphic>
          </wp:inline>
        </w:drawing>
      </w:r>
    </w:p>
    <w:p>
      <w:pPr>
        <w:spacing w:after="100" w:before="0" w:line="276"/>
        <w:jc w:val="center"/>
      </w:pPr>
      <w:r>
        <w:rPr>
          <w:rFonts w:ascii="Arial" w:cs="Arial" w:eastAsia="Arial" w:hAnsi="Arial"/>
          <w:i/>
          <w:iCs/>
          <w:color w:val="6B7280"/>
          <w:sz w:val="18"/>
          <w:szCs w:val="18"/>
        </w:rPr>
        <w:t xml:space="preserve">Frost circles for benzene (closed shell), cyclobutadiene (two unpaired electrons — antiaromatic) and the cyclopentadienyl anion (6 π, aromatic).</w:t>
      </w:r>
    </w:p>
    <w:p>
      <w:pPr>
        <w:keepNext/>
        <w:spacing w:after="40" w:before="200"/>
      </w:pPr>
      <w:r>
        <w:rPr>
          <w:rFonts w:ascii="Arial" w:cs="Arial" w:eastAsia="Arial" w:hAnsi="Arial"/>
          <w:b/>
          <w:bCs/>
          <w:color w:val="6D28D9"/>
          <w:sz w:val="22"/>
          <w:szCs w:val="22"/>
        </w:rPr>
        <w:t xml:space="preserve">1.1  </w:t>
      </w:r>
      <w:r>
        <w:rPr>
          <w:rFonts w:ascii="Arial" w:cs="Arial" w:eastAsia="Arial" w:hAnsi="Arial"/>
          <w:color w:val="1F2937"/>
          <w:sz w:val="22"/>
          <w:szCs w:val="22"/>
        </w:rPr>
        <w:t xml:space="preserve">Classify each as aromatic, antiaromatic or non-aromatic, giving the π-electron count: (a) the cyclopropenyl cation, C₃H₃⁺; (b) cyclooctatetraene, C₈H₈; (c) the cyclooctatetraene dianion, C₈H₈²⁻ (which is planar); (d) [18]annulene (an 18-membered ring with 9 C=C bonds); (e) furan (a five-membered ring containing an O atom).</w:t>
      </w:r>
      <w:r>
        <w:rPr>
          <w:rFonts w:ascii="Arial" w:cs="Arial" w:eastAsia="Arial" w:hAnsi="Arial"/>
          <w:b/>
          <w:bCs/>
          <w:color w:val="D97706"/>
          <w:sz w:val="20"/>
          <w:szCs w:val="20"/>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val="false"/>
        <w:pBdr>
          <w:bottom w:val="single" w:color="A1A1AB" w:sz="4" w:space="1"/>
        </w:pBdr>
        <w:spacing w:after="0" w:before="0" w:line="420"/>
      </w:pPr>
      <w:r>
        <w:rPr>
          <w:rFonts w:ascii="Arial" w:cs="Arial" w:eastAsia="Arial" w:hAnsi="Arial"/>
          <w:color w:val="1F2937"/>
          <w:sz w:val="22"/>
          <w:szCs w:val="22"/>
        </w:rPr>
        <w:t xml:space="preserve"> </w:t>
      </w:r>
    </w:p>
    <w:p>
      <w:pPr>
        <w:spacing w:after="40" w:before="0" w:line="276"/>
      </w:pPr>
      <w:r>
        <w:rPr>
          <w:rFonts w:ascii="Arial" w:cs="Arial" w:eastAsia="Arial" w:hAnsi="Arial"/>
          <w:color w:val="1F2937"/>
          <w:sz w:val="22"/>
          <w:szCs w:val="22"/>
        </w:rPr>
        <w:t xml:space="preserve"> </w:t>
      </w:r>
    </w:p>
    <w:p>
      <w:pPr>
        <w:keepNext/>
        <w:spacing w:after="40" w:before="200"/>
      </w:pPr>
      <w:r>
        <w:rPr>
          <w:rFonts w:ascii="Arial" w:cs="Arial" w:eastAsia="Arial" w:hAnsi="Arial"/>
          <w:b/>
          <w:bCs/>
          <w:color w:val="6D28D9"/>
          <w:sz w:val="22"/>
          <w:szCs w:val="22"/>
        </w:rPr>
        <w:t xml:space="preserve">1.2  </w:t>
      </w:r>
      <w:r>
        <w:rPr>
          <w:rFonts w:ascii="Arial" w:cs="Arial" w:eastAsia="Arial" w:hAnsi="Arial"/>
          <w:color w:val="1F2937"/>
          <w:sz w:val="22"/>
          <w:szCs w:val="22"/>
        </w:rPr>
        <w:t xml:space="preserve">Cyclopentadiene, C₅H₆, has pKₐ ≈ 16 — about the same as water and 10²⁹ times more acidic than cyclopentane (pKₐ ≈ 45). Explain.</w:t>
      </w:r>
      <w:r>
        <w:rPr>
          <w:rFonts w:ascii="Arial" w:cs="Arial" w:eastAsia="Arial" w:hAnsi="Arial"/>
          <w:b/>
          <w:bCs/>
          <w:color w:val="D97706"/>
          <w:sz w:val="20"/>
          <w:szCs w:val="20"/>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val="false"/>
        <w:pBdr>
          <w:bottom w:val="single" w:color="A1A1AA" w:sz="4" w:space="1"/>
        </w:pBdr>
        <w:spacing w:after="0" w:before="0" w:line="420"/>
      </w:pPr>
      <w:r>
        <w:rPr>
          <w:rFonts w:ascii="Arial" w:cs="Arial" w:eastAsia="Arial" w:hAnsi="Arial"/>
          <w:color w:val="1F2937"/>
          <w:sz w:val="22"/>
          <w:szCs w:val="22"/>
        </w:rPr>
        <w:t xml:space="preserve"> </w:t>
      </w:r>
    </w:p>
    <w:p>
      <w:pPr>
        <w:spacing w:after="40" w:before="0" w:line="276"/>
      </w:pPr>
      <w:r>
        <w:rPr>
          <w:rFonts w:ascii="Arial" w:cs="Arial" w:eastAsia="Arial" w:hAnsi="Arial"/>
          <w:color w:val="1F2937"/>
          <w:sz w:val="22"/>
          <w:szCs w:val="22"/>
        </w:rPr>
        <w:t xml:space="preserve"> </w:t>
      </w:r>
    </w:p>
    <w:p>
      <w:pPr>
        <w:keepNext/>
        <w:spacing w:after="40" w:before="200"/>
      </w:pPr>
      <w:r>
        <w:rPr>
          <w:rFonts w:ascii="Arial" w:cs="Arial" w:eastAsia="Arial" w:hAnsi="Arial"/>
          <w:b/>
          <w:bCs/>
          <w:color w:val="6D28D9"/>
          <w:sz w:val="22"/>
          <w:szCs w:val="22"/>
        </w:rPr>
        <w:t xml:space="preserve">1.3  </w:t>
      </w:r>
      <w:r>
        <w:rPr>
          <w:rFonts w:ascii="Arial" w:cs="Arial" w:eastAsia="Arial" w:hAnsi="Arial"/>
          <w:color w:val="1F2937"/>
          <w:sz w:val="22"/>
          <w:szCs w:val="22"/>
        </w:rPr>
        <w:t xml:space="preserve">Draw the Frost circle for the cyclopropenyl system (a triangle, vertex down). Use it to explain why the cation (2 π) is aromatic but the anion (4 π) is antiaromatic.</w:t>
      </w:r>
      <w:r>
        <w:rPr>
          <w:rFonts w:ascii="Arial" w:cs="Arial" w:eastAsia="Arial" w:hAnsi="Arial"/>
          <w:b/>
          <w:bCs/>
          <w:color w:val="D97706"/>
          <w:sz w:val="20"/>
          <w:szCs w:val="20"/>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val="false"/>
        <w:pBdr>
          <w:bottom w:val="single" w:color="A1A1AA" w:sz="4" w:space="1"/>
        </w:pBdr>
        <w:spacing w:after="0" w:before="0" w:line="420"/>
      </w:pPr>
      <w:r>
        <w:rPr>
          <w:rFonts w:ascii="Arial" w:cs="Arial" w:eastAsia="Arial" w:hAnsi="Arial"/>
          <w:color w:val="1F2937"/>
          <w:sz w:val="22"/>
          <w:szCs w:val="22"/>
        </w:rPr>
        <w:t xml:space="preserve"> </w:t>
      </w:r>
    </w:p>
    <w:p>
      <w:pPr>
        <w:spacing w:after="40" w:before="0" w:line="276"/>
      </w:pPr>
      <w:r>
        <w:rPr>
          <w:rFonts w:ascii="Arial" w:cs="Arial" w:eastAsia="Arial" w:hAnsi="Arial"/>
          <w:color w:val="1F2937"/>
          <w:sz w:val="22"/>
          <w:szCs w:val="22"/>
        </w:rPr>
        <w:t xml:space="preserve"> </w:t>
      </w:r>
    </w:p>
    <w:tbl>
      <w:tblPr>
        <w:tblW w:type="dxa" w:w="9640"/>
        <w:tblBorders>
          <w:top w:val="single" w:color="CBD5E1" w:sz="8"/>
          <w:left w:val="single" w:color="CBD5E1" w:sz="8"/>
          <w:bottom w:val="single" w:color="CBD5E1" w:sz="8"/>
          <w:right w:val="single" w:color="CBD5E1" w:sz="8"/>
          <w:insideH w:val="single" w:color="CBD5E1" w:sz="8"/>
          <w:insideV w:val="single" w:color="CBD5E1" w:sz="8"/>
        </w:tblBorders>
      </w:tblPr>
      <w:tblGrid>
        <w:gridCol w:w="9640"/>
      </w:tblGrid>
      <w:tr>
        <w:trPr>
          <w:cantSplit/>
        </w:trPr>
        <w:tc>
          <w:tcPr>
            <w:tcW w:type="dxa" w:w="9640"/>
            <w:shd w:fill="F8FAFC" w:color="auto" w:val="clear"/>
            <w:tcMar>
              <w:top w:type="dxa" w:w="100"/>
              <w:left w:type="dxa" w:w="160"/>
              <w:bottom w:type="dxa" w:w="100"/>
              <w:right w:type="dxa" w:w="160"/>
            </w:tcMar>
          </w:tcPr>
          <w:p>
            <w:pPr>
              <w:spacing w:after="40" w:before="0" w:line="276"/>
            </w:pPr>
            <w:r>
              <w:rPr>
                <w:rFonts w:ascii="Arial" w:cs="Arial" w:eastAsia="Arial" w:hAnsi="Arial"/>
                <w:b/>
                <w:bCs/>
                <w:color w:val="6D28D9"/>
                <w:sz w:val="20"/>
                <w:szCs w:val="20"/>
              </w:rPr>
              <w:t xml:space="preserve">Reading for this section</w:t>
            </w:r>
          </w:p>
          <w:p>
            <w:pPr>
              <w:spacing w:after="20" w:before="20" w:line="276"/>
              <w:ind w:left="200" w:hanging="200"/>
            </w:pPr>
            <w:r>
              <w:rPr>
                <w:rFonts w:ascii="Arial" w:cs="Arial" w:eastAsia="Arial" w:hAnsi="Arial"/>
                <w:b/>
                <w:bCs/>
                <w:color w:val="6D28D9"/>
                <w:sz w:val="19"/>
                <w:szCs w:val="19"/>
              </w:rPr>
              <w:t xml:space="preserve">▸ </w:t>
            </w:r>
            <w:r>
              <w:rPr>
                <w:rFonts w:ascii="Arial" w:cs="Arial" w:eastAsia="Arial" w:hAnsi="Arial"/>
                <w:color w:val="1F2937"/>
                <w:sz w:val="19"/>
                <w:szCs w:val="19"/>
              </w:rPr>
              <w:t xml:space="preserve">Clayden, Greeves &amp; Warren, Organic Chemistry (2nd ed., OUP), ch. 7 'Delocalization and conjugation'</w:t>
            </w:r>
            <w:r>
              <w:rPr>
                <w:rFonts w:ascii="Arial" w:cs="Arial" w:eastAsia="Arial" w:hAnsi="Arial"/>
                <w:i/>
                <w:iCs/>
                <w:color w:val="4B5563"/>
                <w:sz w:val="19"/>
                <w:szCs w:val="19"/>
              </w:rPr>
              <w:t xml:space="preserve">  —  the standard first-year treatment of aromaticity, with Frost circles</w:t>
            </w:r>
          </w:p>
          <w:p>
            <w:pPr>
              <w:spacing w:after="20" w:before="20" w:line="276"/>
              <w:ind w:left="200" w:hanging="200"/>
            </w:pPr>
            <w:r>
              <w:rPr>
                <w:rFonts w:ascii="Arial" w:cs="Arial" w:eastAsia="Arial" w:hAnsi="Arial"/>
                <w:b/>
                <w:bCs/>
                <w:color w:val="6D28D9"/>
                <w:sz w:val="19"/>
                <w:szCs w:val="19"/>
              </w:rPr>
              <w:t xml:space="preserve">▸ </w:t>
            </w:r>
            <w:r>
              <w:rPr>
                <w:rFonts w:ascii="Arial" w:cs="Arial" w:eastAsia="Arial" w:hAnsi="Arial"/>
                <w:color w:val="1F2937"/>
                <w:sz w:val="19"/>
                <w:szCs w:val="19"/>
              </w:rPr>
              <w:t xml:space="preserve">E. Hückel, Z. Physik 1931, 70, 204</w:t>
            </w:r>
            <w:r>
              <w:rPr>
                <w:rFonts w:ascii="Arial" w:cs="Arial" w:eastAsia="Arial" w:hAnsi="Arial"/>
                <w:i/>
                <w:iCs/>
                <w:color w:val="4B5563"/>
                <w:sz w:val="19"/>
                <w:szCs w:val="19"/>
              </w:rPr>
              <w:t xml:space="preserve">  —  the original 4n + 2 rule</w:t>
            </w:r>
          </w:p>
          <w:p>
            <w:pPr>
              <w:spacing w:after="20" w:before="20" w:line="276"/>
              <w:ind w:left="200" w:hanging="200"/>
            </w:pPr>
            <w:r>
              <w:rPr>
                <w:rFonts w:ascii="Arial" w:cs="Arial" w:eastAsia="Arial" w:hAnsi="Arial"/>
                <w:b/>
                <w:bCs/>
                <w:color w:val="6D28D9"/>
                <w:sz w:val="19"/>
                <w:szCs w:val="19"/>
              </w:rPr>
              <w:t xml:space="preserve">▸ </w:t>
            </w:r>
            <w:r>
              <w:rPr>
                <w:rFonts w:ascii="Arial" w:cs="Arial" w:eastAsia="Arial" w:hAnsi="Arial"/>
                <w:color w:val="1F2937"/>
                <w:sz w:val="19"/>
                <w:szCs w:val="19"/>
              </w:rPr>
              <w:t xml:space="preserve">Master Organic Chemistry — 'Aromaticity' series (online)</w:t>
            </w:r>
            <w:r>
              <w:rPr>
                <w:rFonts w:ascii="Arial" w:cs="Arial" w:eastAsia="Arial" w:hAnsi="Arial"/>
                <w:i/>
                <w:iCs/>
                <w:color w:val="4B5563"/>
                <w:sz w:val="19"/>
                <w:szCs w:val="19"/>
              </w:rPr>
              <w:t xml:space="preserve">  —  worked examples of counting π electrons in ions and heterocycles</w:t>
            </w:r>
          </w:p>
        </w:tc>
      </w:tr>
    </w:tbl>
    <w:p>
      <w:pPr>
        <w:spacing w:after="40" w:before="0" w:line="276"/>
      </w:pPr>
      <w:r>
        <w:rPr>
          <w:rFonts w:ascii="Arial" w:cs="Arial" w:eastAsia="Arial" w:hAnsi="Arial"/>
          <w:color w:val="1F2937"/>
          <w:sz w:val="22"/>
          <w:szCs w:val="22"/>
        </w:rPr>
        <w:t xml:space="preserve"> </w:t>
      </w:r>
    </w:p>
    <w:p>
      <w:pPr>
        <w:pageBreakBefore/>
        <w:spacing w:after="0" w:before="0" w:line="20"/>
      </w:pPr>
      <w:r>
        <w:rPr>
          <w:sz w:val="2"/>
          <w:szCs w:val="2"/>
        </w:rPr>
        <w:t xml:space="preserve"/>
      </w:r>
    </w:p>
    <w:tbl>
      <w:tblPr>
        <w:tblW w:type="dxa" w:w="9640"/>
        <w:tblBorders>
          <w:top w:val="none" w:color="FFFFFF" w:sz="0"/>
          <w:left w:val="none" w:color="FFFFFF" w:sz="0"/>
          <w:bottom w:val="none" w:color="FFFFFF" w:sz="0"/>
          <w:right w:val="none" w:color="FFFFFF" w:sz="0"/>
          <w:insideH w:val="none" w:color="FFFFFF" w:sz="0"/>
          <w:insideV w:val="none" w:color="FFFFFF" w:sz="0"/>
        </w:tblBorders>
      </w:tblPr>
      <w:tblGrid>
        <w:gridCol w:w="9640"/>
      </w:tblGrid>
      <w:tr>
        <w:trPr>
          <w:cantSplit/>
        </w:trPr>
        <w:tc>
          <w:tcPr>
            <w:tcW w:type="dxa" w:w="9640"/>
            <w:shd w:fill="6D28D9" w:color="auto" w:val="clear"/>
            <w:tcMar>
              <w:top w:type="dxa" w:w="160"/>
              <w:left w:type="dxa" w:w="240"/>
              <w:bottom w:type="dxa" w:w="160"/>
              <w:right w:type="dxa" w:w="240"/>
            </w:tcMar>
          </w:tcPr>
          <w:p>
            <w:pPr>
              <w:tabs>
                <w:tab w:val="right" w:pos="9160"/>
              </w:tabs>
              <w:spacing w:after="0" w:before="0" w:line="276"/>
            </w:pPr>
            <w:r>
              <w:rPr>
                <w:rFonts w:ascii="Arial" w:cs="Arial" w:eastAsia="Arial" w:hAnsi="Arial"/>
                <w:b/>
                <w:bCs/>
                <w:color w:val="FFFFFF"/>
                <w:sz w:val="22"/>
                <w:szCs w:val="22"/>
              </w:rPr>
              <w:t xml:space="preserve">Section 2</w:t>
            </w:r>
            <w:r>
              <w:rPr>
                <w:rFonts w:ascii="Arial" w:cs="Arial" w:eastAsia="Arial" w:hAnsi="Arial"/>
                <w:b/>
                <w:bCs/>
                <w:color w:val="FFFFFF"/>
                <w:sz w:val="18"/>
                <w:szCs w:val="18"/>
              </w:rPr>
              <w:t xml:space="preserve">	PART A · FIRST-YEAR UNDERGRADUATE LEVEL</w:t>
            </w:r>
          </w:p>
          <w:p>
            <w:pPr>
              <w:spacing w:after="40" w:before="40" w:line="276"/>
            </w:pPr>
            <w:r>
              <w:rPr>
                <w:rFonts w:ascii="Arial" w:cs="Arial" w:eastAsia="Arial" w:hAnsi="Arial"/>
                <w:b/>
                <w:bCs/>
                <w:color w:val="FFFFFF"/>
                <w:sz w:val="32"/>
                <w:szCs w:val="32"/>
              </w:rPr>
              <w:t xml:space="preserve">Resonance energy and the ring current</w:t>
            </w:r>
          </w:p>
          <w:p>
            <w:pPr>
              <w:spacing w:after="0" w:before="0" w:line="276"/>
            </w:pPr>
            <w:r>
              <w:rPr>
                <w:rFonts w:ascii="Arial" w:cs="Arial" w:eastAsia="Arial" w:hAnsi="Arial"/>
                <w:i/>
                <w:iCs/>
                <w:color w:val="F5F3FF"/>
                <w:sz w:val="21"/>
                <w:szCs w:val="21"/>
              </w:rPr>
              <w:t xml:space="preserve">How big is the stabilisation, what exactly does a double-headed arrow mean, and how can NMR 'see' aromaticity?</w:t>
            </w:r>
          </w:p>
        </w:tc>
      </w:tr>
    </w:tbl>
    <w:p>
      <w:pPr>
        <w:spacing w:after="40" w:before="0" w:line="276"/>
      </w:pPr>
      <w:r>
        <w:rPr>
          <w:rFonts w:ascii="Arial" w:cs="Arial" w:eastAsia="Arial" w:hAnsi="Arial"/>
          <w:color w:val="1F2937"/>
          <w:sz w:val="22"/>
          <w:szCs w:val="22"/>
        </w:rPr>
        <w:t xml:space="preserve"> </w:t>
      </w:r>
    </w:p>
    <w:tbl>
      <w:tblPr>
        <w:tblW w:type="dxa" w:w="9640"/>
        <w:tblBorders>
          <w:top w:val="single" w:color="14B8A6" w:sz="8"/>
          <w:left w:val="single" w:color="14B8A6" w:sz="8"/>
          <w:bottom w:val="single" w:color="14B8A6" w:sz="8"/>
          <w:right w:val="single" w:color="14B8A6" w:sz="8"/>
          <w:insideH w:val="single" w:color="14B8A6" w:sz="8"/>
          <w:insideV w:val="single" w:color="14B8A6" w:sz="8"/>
        </w:tblBorders>
      </w:tblPr>
      <w:tblGrid>
        <w:gridCol w:w="9640"/>
      </w:tblGrid>
      <w:tr>
        <w:trPr>
          <w:cantSplit/>
        </w:trPr>
        <w:tc>
          <w:tcPr>
            <w:tcW w:type="dxa" w:w="9640"/>
            <w:shd w:fill="CCFBF1" w:color="auto" w:val="clear"/>
            <w:tcMar>
              <w:top w:type="dxa" w:w="100"/>
              <w:left w:type="dxa" w:w="160"/>
              <w:bottom w:type="dxa" w:w="100"/>
              <w:right w:type="dxa" w:w="160"/>
            </w:tcMar>
          </w:tcPr>
          <w:p>
            <w:pPr>
              <w:spacing w:after="40" w:before="0" w:line="276"/>
            </w:pPr>
            <w:r>
              <w:rPr>
                <w:rFonts w:ascii="Arial" w:cs="Arial" w:eastAsia="Arial" w:hAnsi="Arial"/>
                <w:b/>
                <w:bCs/>
                <w:color w:val="0F766E"/>
                <w:sz w:val="22"/>
                <w:szCs w:val="22"/>
              </w:rPr>
              <w:t xml:space="preserve">Key facts</w:t>
            </w:r>
          </w:p>
          <w:p>
            <w:pPr>
              <w:spacing w:after="20" w:before="20" w:line="276"/>
            </w:pPr>
            <w:r>
              <w:rPr>
                <w:rFonts w:ascii="Arial" w:cs="Arial" w:eastAsia="Arial" w:hAnsi="Arial"/>
                <w:color w:val="1F2937"/>
                <w:sz w:val="21"/>
                <w:szCs w:val="21"/>
              </w:rPr>
              <w:t xml:space="preserve">•  Resonance energy of benzene from hydrogenation data: 360 − 208 = 152 kJ mol⁻¹. Other reference states give 150–210 kJ mol⁻¹ — the number depends on what you compare with, so quote the method.</w:t>
            </w:r>
          </w:p>
          <w:p>
            <w:pPr>
              <w:spacing w:after="20" w:before="20" w:line="276"/>
            </w:pPr>
            <w:r>
              <w:rPr>
                <w:rFonts w:ascii="Arial" w:cs="Arial" w:eastAsia="Arial" w:hAnsi="Arial"/>
                <w:color w:val="1F2937"/>
                <w:sz w:val="21"/>
                <w:szCs w:val="21"/>
              </w:rPr>
              <w:t xml:space="preserve">•  The two Kekulé structures are RESONANCE FORMS (↔), not molecules in equilibrium (⇌). Benzene is a single hybrid: bond order 1.5, all bonds 0.139 nm.</w:t>
            </w:r>
          </w:p>
          <w:p>
            <w:pPr>
              <w:spacing w:after="20" w:before="20" w:line="276"/>
            </w:pPr>
            <w:r>
              <w:rPr>
                <w:rFonts w:ascii="Arial" w:cs="Arial" w:eastAsia="Arial" w:hAnsi="Arial"/>
                <w:color w:val="1F2937"/>
                <w:sz w:val="21"/>
                <w:szCs w:val="21"/>
              </w:rPr>
              <w:t xml:space="preserve">•  In a magnetic field the delocalised π electrons circulate (a 'ring current'), inducing a field that DEshields hydrogens on the outside of the ring: benzene H at δ 7.3 ppm vs alkene H at 5–6 ppm (see NMR, 6.3.2).</w:t>
            </w:r>
          </w:p>
          <w:p>
            <w:pPr>
              <w:spacing w:after="20" w:before="20" w:line="276"/>
            </w:pPr>
            <w:r>
              <w:rPr>
                <w:rFonts w:ascii="Arial" w:cs="Arial" w:eastAsia="Arial" w:hAnsi="Arial"/>
                <w:color w:val="1F2937"/>
                <w:sz w:val="21"/>
                <w:szCs w:val="21"/>
              </w:rPr>
              <w:t xml:space="preserve">•  Hydrogens INSIDE a large aromatic ring are shielded: the six inner H of [18]annulene appear at δ −3 ppm.</w:t>
            </w:r>
          </w:p>
        </w:tc>
      </w:tr>
    </w:tbl>
    <w:p>
      <w:pPr>
        <w:spacing w:after="80" w:before="80"/>
        <w:jc w:val="center"/>
      </w:pPr>
      <w:r>
        <w:drawing>
          <wp:inline distT="0" distB="0" distL="0" distR="0">
            <wp:extent cx="4019550" cy="19431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4019550" cy="1943100"/>
                    </a:xfrm>
                    <a:prstGeom prst="rect">
                      <a:avLst/>
                    </a:prstGeom>
                  </pic:spPr>
                </pic:pic>
              </a:graphicData>
            </a:graphic>
          </wp:inline>
        </w:drawing>
      </w:r>
    </w:p>
    <w:p>
      <w:pPr>
        <w:spacing w:after="100" w:before="0" w:line="276"/>
        <w:jc w:val="center"/>
      </w:pPr>
      <w:r>
        <w:rPr>
          <w:rFonts w:ascii="Arial" w:cs="Arial" w:eastAsia="Arial" w:hAnsi="Arial"/>
          <w:i/>
          <w:iCs/>
          <w:color w:val="6B7280"/>
          <w:sz w:val="18"/>
          <w:szCs w:val="18"/>
        </w:rPr>
        <w:t xml:space="preserve">The A-level energy diagram — the 152 kJ mol⁻¹ is the resonance (delocalisation) energy.</w:t>
      </w:r>
    </w:p>
    <w:p>
      <w:pPr>
        <w:keepNext/>
        <w:spacing w:after="40" w:before="200"/>
      </w:pPr>
      <w:r>
        <w:rPr>
          <w:rFonts w:ascii="Arial" w:cs="Arial" w:eastAsia="Arial" w:hAnsi="Arial"/>
          <w:b/>
          <w:bCs/>
          <w:color w:val="6D28D9"/>
          <w:sz w:val="22"/>
          <w:szCs w:val="22"/>
        </w:rPr>
        <w:t xml:space="preserve">2.1  </w:t>
      </w:r>
      <w:r>
        <w:rPr>
          <w:rFonts w:ascii="Arial" w:cs="Arial" w:eastAsia="Arial" w:hAnsi="Arial"/>
          <w:color w:val="1F2937"/>
          <w:sz w:val="22"/>
          <w:szCs w:val="22"/>
        </w:rPr>
        <w:t xml:space="preserve">A student writes 'benzene ⇌ (other Kekulé structure)'. Explain what is wrong with the arrow and what the correct symbol means.</w:t>
      </w:r>
      <w:r>
        <w:rPr>
          <w:rFonts w:ascii="Arial" w:cs="Arial" w:eastAsia="Arial" w:hAnsi="Arial"/>
          <w:b/>
          <w:bCs/>
          <w:color w:val="D97706"/>
          <w:sz w:val="20"/>
          <w:szCs w:val="20"/>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val="false"/>
        <w:pBdr>
          <w:bottom w:val="single" w:color="A1A1AB" w:sz="4" w:space="1"/>
        </w:pBdr>
        <w:spacing w:after="0" w:before="0" w:line="420"/>
      </w:pPr>
      <w:r>
        <w:rPr>
          <w:rFonts w:ascii="Arial" w:cs="Arial" w:eastAsia="Arial" w:hAnsi="Arial"/>
          <w:color w:val="1F2937"/>
          <w:sz w:val="22"/>
          <w:szCs w:val="22"/>
        </w:rPr>
        <w:t xml:space="preserve"> </w:t>
      </w:r>
    </w:p>
    <w:p>
      <w:pPr>
        <w:spacing w:after="40" w:before="0" w:line="276"/>
      </w:pPr>
      <w:r>
        <w:rPr>
          <w:rFonts w:ascii="Arial" w:cs="Arial" w:eastAsia="Arial" w:hAnsi="Arial"/>
          <w:color w:val="1F2937"/>
          <w:sz w:val="22"/>
          <w:szCs w:val="22"/>
        </w:rPr>
        <w:t xml:space="preserve"> </w:t>
      </w:r>
    </w:p>
    <w:p>
      <w:pPr>
        <w:keepNext/>
        <w:spacing w:after="40" w:before="200"/>
      </w:pPr>
      <w:r>
        <w:rPr>
          <w:rFonts w:ascii="Arial" w:cs="Arial" w:eastAsia="Arial" w:hAnsi="Arial"/>
          <w:b/>
          <w:bCs/>
          <w:color w:val="6D28D9"/>
          <w:sz w:val="22"/>
          <w:szCs w:val="22"/>
        </w:rPr>
        <w:t xml:space="preserve">2.2  </w:t>
      </w:r>
      <w:r>
        <w:rPr>
          <w:rFonts w:ascii="Arial" w:cs="Arial" w:eastAsia="Arial" w:hAnsi="Arial"/>
          <w:color w:val="1F2937"/>
          <w:sz w:val="22"/>
          <w:szCs w:val="22"/>
        </w:rPr>
        <w:t xml:space="preserve">The enthalpy change of hydrogenation of cyclooctatetraene is −410 kJ mol⁻¹, and that of cyclooctene is −96 kJ mol⁻¹. Calculate the 'resonance energy' of cyclooctatetraene and comment.</w:t>
      </w:r>
      <w:r>
        <w:rPr>
          <w:rFonts w:ascii="Arial" w:cs="Arial" w:eastAsia="Arial" w:hAnsi="Arial"/>
          <w:b/>
          <w:bCs/>
          <w:color w:val="D97706"/>
          <w:sz w:val="20"/>
          <w:szCs w:val="20"/>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val="false"/>
        <w:pBdr>
          <w:bottom w:val="single" w:color="A1A1AA" w:sz="4" w:space="1"/>
        </w:pBdr>
        <w:spacing w:after="0" w:before="0" w:line="420"/>
      </w:pPr>
      <w:r>
        <w:rPr>
          <w:rFonts w:ascii="Arial" w:cs="Arial" w:eastAsia="Arial" w:hAnsi="Arial"/>
          <w:color w:val="1F2937"/>
          <w:sz w:val="22"/>
          <w:szCs w:val="22"/>
        </w:rPr>
        <w:t xml:space="preserve"> </w:t>
      </w:r>
    </w:p>
    <w:p>
      <w:pPr>
        <w:spacing w:after="40" w:before="0" w:line="276"/>
      </w:pPr>
      <w:r>
        <w:rPr>
          <w:rFonts w:ascii="Arial" w:cs="Arial" w:eastAsia="Arial" w:hAnsi="Arial"/>
          <w:color w:val="1F2937"/>
          <w:sz w:val="22"/>
          <w:szCs w:val="22"/>
        </w:rPr>
        <w:t xml:space="preserve"> </w:t>
      </w:r>
    </w:p>
    <w:p>
      <w:pPr>
        <w:keepNext/>
        <w:spacing w:after="40" w:before="200"/>
      </w:pPr>
      <w:r>
        <w:rPr>
          <w:rFonts w:ascii="Arial" w:cs="Arial" w:eastAsia="Arial" w:hAnsi="Arial"/>
          <w:b/>
          <w:bCs/>
          <w:color w:val="6D28D9"/>
          <w:sz w:val="22"/>
          <w:szCs w:val="22"/>
        </w:rPr>
        <w:t xml:space="preserve">2.3  </w:t>
      </w:r>
      <w:r>
        <w:rPr>
          <w:rFonts w:ascii="Arial" w:cs="Arial" w:eastAsia="Arial" w:hAnsi="Arial"/>
          <w:color w:val="1F2937"/>
          <w:sz w:val="22"/>
          <w:szCs w:val="22"/>
        </w:rPr>
        <w:t xml:space="preserve">Predict the approximate ¹H chemical shifts of (a) the ring hydrogens of benzene, (b) the H atoms of cyclohexene's C=C, (c) the inner hydrogens of [18]annulene, and explain the differences.</w:t>
      </w:r>
      <w:r>
        <w:rPr>
          <w:rFonts w:ascii="Arial" w:cs="Arial" w:eastAsia="Arial" w:hAnsi="Arial"/>
          <w:b/>
          <w:bCs/>
          <w:color w:val="D97706"/>
          <w:sz w:val="20"/>
          <w:szCs w:val="20"/>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val="false"/>
        <w:pBdr>
          <w:bottom w:val="single" w:color="A1A1AA" w:sz="4" w:space="1"/>
        </w:pBdr>
        <w:spacing w:after="0" w:before="0" w:line="420"/>
      </w:pPr>
      <w:r>
        <w:rPr>
          <w:rFonts w:ascii="Arial" w:cs="Arial" w:eastAsia="Arial" w:hAnsi="Arial"/>
          <w:color w:val="1F2937"/>
          <w:sz w:val="22"/>
          <w:szCs w:val="22"/>
        </w:rPr>
        <w:t xml:space="preserve"> </w:t>
      </w:r>
    </w:p>
    <w:p>
      <w:pPr>
        <w:spacing w:after="40" w:before="0" w:line="276"/>
      </w:pPr>
      <w:r>
        <w:rPr>
          <w:rFonts w:ascii="Arial" w:cs="Arial" w:eastAsia="Arial" w:hAnsi="Arial"/>
          <w:color w:val="1F2937"/>
          <w:sz w:val="22"/>
          <w:szCs w:val="22"/>
        </w:rPr>
        <w:t xml:space="preserve"> </w:t>
      </w:r>
    </w:p>
    <w:tbl>
      <w:tblPr>
        <w:tblW w:type="dxa" w:w="9640"/>
        <w:tblBorders>
          <w:top w:val="single" w:color="CBD5E1" w:sz="8"/>
          <w:left w:val="single" w:color="CBD5E1" w:sz="8"/>
          <w:bottom w:val="single" w:color="CBD5E1" w:sz="8"/>
          <w:right w:val="single" w:color="CBD5E1" w:sz="8"/>
          <w:insideH w:val="single" w:color="CBD5E1" w:sz="8"/>
          <w:insideV w:val="single" w:color="CBD5E1" w:sz="8"/>
        </w:tblBorders>
      </w:tblPr>
      <w:tblGrid>
        <w:gridCol w:w="9640"/>
      </w:tblGrid>
      <w:tr>
        <w:trPr>
          <w:cantSplit/>
        </w:trPr>
        <w:tc>
          <w:tcPr>
            <w:tcW w:type="dxa" w:w="9640"/>
            <w:shd w:fill="F8FAFC" w:color="auto" w:val="clear"/>
            <w:tcMar>
              <w:top w:type="dxa" w:w="100"/>
              <w:left w:type="dxa" w:w="160"/>
              <w:bottom w:type="dxa" w:w="100"/>
              <w:right w:type="dxa" w:w="160"/>
            </w:tcMar>
          </w:tcPr>
          <w:p>
            <w:pPr>
              <w:spacing w:after="40" w:before="0" w:line="276"/>
            </w:pPr>
            <w:r>
              <w:rPr>
                <w:rFonts w:ascii="Arial" w:cs="Arial" w:eastAsia="Arial" w:hAnsi="Arial"/>
                <w:b/>
                <w:bCs/>
                <w:color w:val="6D28D9"/>
                <w:sz w:val="20"/>
                <w:szCs w:val="20"/>
              </w:rPr>
              <w:t xml:space="preserve">Reading for this section</w:t>
            </w:r>
          </w:p>
          <w:p>
            <w:pPr>
              <w:spacing w:after="20" w:before="20" w:line="276"/>
              <w:ind w:left="200" w:hanging="200"/>
            </w:pPr>
            <w:r>
              <w:rPr>
                <w:rFonts w:ascii="Arial" w:cs="Arial" w:eastAsia="Arial" w:hAnsi="Arial"/>
                <w:b/>
                <w:bCs/>
                <w:color w:val="6D28D9"/>
                <w:sz w:val="19"/>
                <w:szCs w:val="19"/>
              </w:rPr>
              <w:t xml:space="preserve">▸ </w:t>
            </w:r>
            <w:r>
              <w:rPr>
                <w:rFonts w:ascii="Arial" w:cs="Arial" w:eastAsia="Arial" w:hAnsi="Arial"/>
                <w:color w:val="1F2937"/>
                <w:sz w:val="19"/>
                <w:szCs w:val="19"/>
              </w:rPr>
              <w:t xml:space="preserve">Clayden ch. 13 (¹H NMR — the ring current)</w:t>
            </w:r>
            <w:r>
              <w:rPr>
                <w:rFonts w:ascii="Arial" w:cs="Arial" w:eastAsia="Arial" w:hAnsi="Arial"/>
                <w:i/>
                <w:iCs/>
                <w:color w:val="4B5563"/>
                <w:sz w:val="19"/>
                <w:szCs w:val="19"/>
              </w:rPr>
              <w:t xml:space="preserve">  —  why aromatic protons appear at 7–8 ppm</w:t>
            </w:r>
          </w:p>
          <w:p>
            <w:pPr>
              <w:spacing w:after="20" w:before="20" w:line="276"/>
              <w:ind w:left="200" w:hanging="200"/>
            </w:pPr>
            <w:r>
              <w:rPr>
                <w:rFonts w:ascii="Arial" w:cs="Arial" w:eastAsia="Arial" w:hAnsi="Arial"/>
                <w:b/>
                <w:bCs/>
                <w:color w:val="6D28D9"/>
                <w:sz w:val="19"/>
                <w:szCs w:val="19"/>
              </w:rPr>
              <w:t xml:space="preserve">▸ </w:t>
            </w:r>
            <w:r>
              <w:rPr>
                <w:rFonts w:ascii="Arial" w:cs="Arial" w:eastAsia="Arial" w:hAnsi="Arial"/>
                <w:color w:val="1F2937"/>
                <w:sz w:val="19"/>
                <w:szCs w:val="19"/>
              </w:rPr>
              <w:t xml:space="preserve">Chemguide, 'Bonding in benzene'</w:t>
            </w:r>
            <w:r>
              <w:rPr>
                <w:rFonts w:ascii="Arial" w:cs="Arial" w:eastAsia="Arial" w:hAnsi="Arial"/>
                <w:i/>
                <w:iCs/>
                <w:color w:val="4B5563"/>
                <w:sz w:val="19"/>
                <w:szCs w:val="19"/>
              </w:rPr>
              <w:t xml:space="preserve">  —  a clear picture of the p-orbital overlap</w:t>
            </w:r>
          </w:p>
        </w:tc>
      </w:tr>
    </w:tbl>
    <w:p>
      <w:pPr>
        <w:spacing w:after="40" w:before="0" w:line="276"/>
      </w:pPr>
      <w:r>
        <w:rPr>
          <w:rFonts w:ascii="Arial" w:cs="Arial" w:eastAsia="Arial" w:hAnsi="Arial"/>
          <w:color w:val="1F2937"/>
          <w:sz w:val="22"/>
          <w:szCs w:val="22"/>
        </w:rPr>
        <w:t xml:space="preserve"> </w:t>
      </w:r>
    </w:p>
    <w:p>
      <w:pPr>
        <w:pageBreakBefore/>
        <w:spacing w:after="0" w:before="0" w:line="20"/>
      </w:pPr>
      <w:r>
        <w:rPr>
          <w:sz w:val="2"/>
          <w:szCs w:val="2"/>
        </w:rPr>
        <w:t xml:space="preserve"/>
      </w:r>
    </w:p>
    <w:tbl>
      <w:tblPr>
        <w:tblW w:type="dxa" w:w="9640"/>
        <w:tblBorders>
          <w:top w:val="none" w:color="FFFFFF" w:sz="0"/>
          <w:left w:val="none" w:color="FFFFFF" w:sz="0"/>
          <w:bottom w:val="none" w:color="FFFFFF" w:sz="0"/>
          <w:right w:val="none" w:color="FFFFFF" w:sz="0"/>
          <w:insideH w:val="none" w:color="FFFFFF" w:sz="0"/>
          <w:insideV w:val="none" w:color="FFFFFF" w:sz="0"/>
        </w:tblBorders>
      </w:tblPr>
      <w:tblGrid>
        <w:gridCol w:w="9640"/>
      </w:tblGrid>
      <w:tr>
        <w:trPr>
          <w:cantSplit/>
        </w:trPr>
        <w:tc>
          <w:tcPr>
            <w:tcW w:type="dxa" w:w="9640"/>
            <w:shd w:fill="6D28D9" w:color="auto" w:val="clear"/>
            <w:tcMar>
              <w:top w:type="dxa" w:w="160"/>
              <w:left w:type="dxa" w:w="240"/>
              <w:bottom w:type="dxa" w:w="160"/>
              <w:right w:type="dxa" w:w="240"/>
            </w:tcMar>
          </w:tcPr>
          <w:p>
            <w:pPr>
              <w:tabs>
                <w:tab w:val="right" w:pos="9160"/>
              </w:tabs>
              <w:spacing w:after="0" w:before="0" w:line="276"/>
            </w:pPr>
            <w:r>
              <w:rPr>
                <w:rFonts w:ascii="Arial" w:cs="Arial" w:eastAsia="Arial" w:hAnsi="Arial"/>
                <w:b/>
                <w:bCs/>
                <w:color w:val="FFFFFF"/>
                <w:sz w:val="22"/>
                <w:szCs w:val="22"/>
              </w:rPr>
              <w:t xml:space="preserve">Section 3</w:t>
            </w:r>
            <w:r>
              <w:rPr>
                <w:rFonts w:ascii="Arial" w:cs="Arial" w:eastAsia="Arial" w:hAnsi="Arial"/>
                <w:b/>
                <w:bCs/>
                <w:color w:val="FFFFFF"/>
                <w:sz w:val="18"/>
                <w:szCs w:val="18"/>
              </w:rPr>
              <w:t xml:space="preserve">	PART A · FIRST-YEAR UNDERGRADUATE LEVEL</w:t>
            </w:r>
          </w:p>
          <w:p>
            <w:pPr>
              <w:spacing w:after="40" w:before="40" w:line="276"/>
            </w:pPr>
            <w:r>
              <w:rPr>
                <w:rFonts w:ascii="Arial" w:cs="Arial" w:eastAsia="Arial" w:hAnsi="Arial"/>
                <w:b/>
                <w:bCs/>
                <w:color w:val="FFFFFF"/>
                <w:sz w:val="32"/>
                <w:szCs w:val="32"/>
              </w:rPr>
              <w:t xml:space="preserve">The Wheland intermediate and the energy profile</w:t>
            </w:r>
          </w:p>
          <w:p>
            <w:pPr>
              <w:spacing w:after="0" w:before="0" w:line="276"/>
            </w:pPr>
            <w:r>
              <w:rPr>
                <w:rFonts w:ascii="Arial" w:cs="Arial" w:eastAsia="Arial" w:hAnsi="Arial"/>
                <w:i/>
                <w:iCs/>
                <w:color w:val="F5F3FF"/>
                <w:sz w:val="21"/>
                <w:szCs w:val="21"/>
              </w:rPr>
              <w:t xml:space="preserve">The A-level mechanism draws one intermediate with a horseshoe. Here is what that horseshoe hides.</w:t>
            </w:r>
          </w:p>
        </w:tc>
      </w:tr>
    </w:tbl>
    <w:p>
      <w:pPr>
        <w:spacing w:after="40" w:before="0" w:line="276"/>
      </w:pPr>
      <w:r>
        <w:rPr>
          <w:rFonts w:ascii="Arial" w:cs="Arial" w:eastAsia="Arial" w:hAnsi="Arial"/>
          <w:color w:val="1F2937"/>
          <w:sz w:val="22"/>
          <w:szCs w:val="22"/>
        </w:rPr>
        <w:t xml:space="preserve"> </w:t>
      </w:r>
    </w:p>
    <w:p>
      <w:pPr>
        <w:spacing w:after="80" w:before="80"/>
        <w:jc w:val="center"/>
      </w:pPr>
      <w:r>
        <w:drawing>
          <wp:inline distT="0" distB="0" distL="0" distR="0">
            <wp:extent cx="5667375" cy="17335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5667375" cy="1733550"/>
                    </a:xfrm>
                    <a:prstGeom prst="rect">
                      <a:avLst/>
                    </a:prstGeom>
                  </pic:spPr>
                </pic:pic>
              </a:graphicData>
            </a:graphic>
          </wp:inline>
        </w:drawing>
      </w:r>
    </w:p>
    <w:p>
      <w:pPr>
        <w:spacing w:after="100" w:before="0" w:line="276"/>
        <w:jc w:val="center"/>
      </w:pPr>
      <w:r>
        <w:rPr>
          <w:rFonts w:ascii="Arial" w:cs="Arial" w:eastAsia="Arial" w:hAnsi="Arial"/>
          <w:i/>
          <w:iCs/>
          <w:color w:val="6B7280"/>
          <w:sz w:val="18"/>
          <w:szCs w:val="18"/>
        </w:rPr>
        <w:t xml:space="preserve">The three resonance forms of the Wheland intermediate (arenium ion, σ-complex). The positive charge is shared over C2, C4 and C6 relative to the attacked carbon.</w:t>
      </w:r>
    </w:p>
    <w:p>
      <w:pPr>
        <w:spacing w:after="80" w:before="80"/>
        <w:jc w:val="center"/>
      </w:pPr>
      <w:r>
        <w:drawing>
          <wp:inline distT="0" distB="0" distL="0" distR="0">
            <wp:extent cx="4752975" cy="28479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4752975" cy="2847975"/>
                    </a:xfrm>
                    <a:prstGeom prst="rect">
                      <a:avLst/>
                    </a:prstGeom>
                  </pic:spPr>
                </pic:pic>
              </a:graphicData>
            </a:graphic>
          </wp:inline>
        </w:drawing>
      </w:r>
    </w:p>
    <w:p>
      <w:pPr>
        <w:spacing w:after="100" w:before="0" w:line="276"/>
        <w:jc w:val="center"/>
      </w:pPr>
      <w:r>
        <w:rPr>
          <w:rFonts w:ascii="Arial" w:cs="Arial" w:eastAsia="Arial" w:hAnsi="Arial"/>
          <w:i/>
          <w:iCs/>
          <w:color w:val="6B7280"/>
          <w:sz w:val="18"/>
          <w:szCs w:val="18"/>
        </w:rPr>
        <w:t xml:space="preserve">Energy profile for electrophilic aromatic substitution: two transition states, one intermediate.</w:t>
      </w:r>
    </w:p>
    <w:tbl>
      <w:tblPr>
        <w:tblW w:type="dxa" w:w="9640"/>
        <w:tblBorders>
          <w:top w:val="single" w:color="14B8A6" w:sz="8"/>
          <w:left w:val="single" w:color="14B8A6" w:sz="8"/>
          <w:bottom w:val="single" w:color="14B8A6" w:sz="8"/>
          <w:right w:val="single" w:color="14B8A6" w:sz="8"/>
          <w:insideH w:val="single" w:color="14B8A6" w:sz="8"/>
          <w:insideV w:val="single" w:color="14B8A6" w:sz="8"/>
        </w:tblBorders>
      </w:tblPr>
      <w:tblGrid>
        <w:gridCol w:w="9640"/>
      </w:tblGrid>
      <w:tr>
        <w:trPr>
          <w:cantSplit/>
        </w:trPr>
        <w:tc>
          <w:tcPr>
            <w:tcW w:type="dxa" w:w="9640"/>
            <w:shd w:fill="CCFBF1" w:color="auto" w:val="clear"/>
            <w:tcMar>
              <w:top w:type="dxa" w:w="100"/>
              <w:left w:type="dxa" w:w="160"/>
              <w:bottom w:type="dxa" w:w="100"/>
              <w:right w:type="dxa" w:w="160"/>
            </w:tcMar>
          </w:tcPr>
          <w:p>
            <w:pPr>
              <w:spacing w:after="40" w:before="0" w:line="276"/>
            </w:pPr>
            <w:r>
              <w:rPr>
                <w:rFonts w:ascii="Arial" w:cs="Arial" w:eastAsia="Arial" w:hAnsi="Arial"/>
                <w:b/>
                <w:bCs/>
                <w:color w:val="0F766E"/>
                <w:sz w:val="22"/>
                <w:szCs w:val="22"/>
              </w:rPr>
              <w:t xml:space="preserve">Key facts</w:t>
            </w:r>
          </w:p>
          <w:p>
            <w:pPr>
              <w:spacing w:after="20" w:before="20" w:line="276"/>
            </w:pPr>
            <w:r>
              <w:rPr>
                <w:rFonts w:ascii="Arial" w:cs="Arial" w:eastAsia="Arial" w:hAnsi="Arial"/>
                <w:color w:val="1F2937"/>
                <w:sz w:val="21"/>
                <w:szCs w:val="21"/>
              </w:rPr>
              <w:t xml:space="preserve">•  Step 1 (attack) breaks aromaticity → large activation energy → RATE-DETERMINING.</w:t>
            </w:r>
          </w:p>
          <w:p>
            <w:pPr>
              <w:spacing w:after="20" w:before="20" w:line="276"/>
            </w:pPr>
            <w:r>
              <w:rPr>
                <w:rFonts w:ascii="Arial" w:cs="Arial" w:eastAsia="Arial" w:hAnsi="Arial"/>
                <w:color w:val="1F2937"/>
                <w:sz w:val="21"/>
                <w:szCs w:val="21"/>
              </w:rPr>
              <w:t xml:space="preserve">•  Step 2 (loss of H⁺) restores aromaticity → small activation energy → fast. This is why the intermediate loses H⁺ instead of gaining a nucleophile: substitution beats addition by ~150 kJ mol⁻¹.</w:t>
            </w:r>
          </w:p>
          <w:p>
            <w:pPr>
              <w:spacing w:after="20" w:before="20" w:line="276"/>
            </w:pPr>
            <w:r>
              <w:rPr>
                <w:rFonts w:ascii="Arial" w:cs="Arial" w:eastAsia="Arial" w:hAnsi="Arial"/>
                <w:color w:val="1F2937"/>
                <w:sz w:val="21"/>
                <w:szCs w:val="21"/>
              </w:rPr>
              <w:t xml:space="preserve">•  Evidence: nitration of C₆D₆ is as fast as C₆H₆ (no kinetic isotope effect, Melander 1950) — C–H bond breaking is not in the slow step.</w:t>
            </w:r>
          </w:p>
          <w:p>
            <w:pPr>
              <w:spacing w:after="20" w:before="20" w:line="276"/>
            </w:pPr>
            <w:r>
              <w:rPr>
                <w:rFonts w:ascii="Arial" w:cs="Arial" w:eastAsia="Arial" w:hAnsi="Arial"/>
                <w:color w:val="1F2937"/>
                <w:sz w:val="21"/>
                <w:szCs w:val="21"/>
              </w:rPr>
              <w:t xml:space="preserve">•  Hammond postulate: TS1 resembles the intermediate (they are close in energy), so anything that stabilises the intermediate speeds up the reaction — the key to directing effects in §4.</w:t>
            </w:r>
          </w:p>
        </w:tc>
      </w:tr>
    </w:tbl>
    <w:p>
      <w:pPr>
        <w:keepNext/>
        <w:spacing w:after="40" w:before="200"/>
      </w:pPr>
      <w:r>
        <w:rPr>
          <w:rFonts w:ascii="Arial" w:cs="Arial" w:eastAsia="Arial" w:hAnsi="Arial"/>
          <w:b/>
          <w:bCs/>
          <w:color w:val="6D28D9"/>
          <w:sz w:val="22"/>
          <w:szCs w:val="22"/>
        </w:rPr>
        <w:t xml:space="preserve">3.1  </w:t>
      </w:r>
      <w:r>
        <w:rPr>
          <w:rFonts w:ascii="Arial" w:cs="Arial" w:eastAsia="Arial" w:hAnsi="Arial"/>
          <w:color w:val="1F2937"/>
          <w:sz w:val="22"/>
          <w:szCs w:val="22"/>
        </w:rPr>
        <w:t xml:space="preserve">Draw the three resonance forms of the intermediate formed when Br⁺ attacks benzene. Mark the sp³ carbon.</w:t>
      </w:r>
      <w:r>
        <w:rPr>
          <w:rFonts w:ascii="Arial" w:cs="Arial" w:eastAsia="Arial" w:hAnsi="Arial"/>
          <w:b/>
          <w:bCs/>
          <w:color w:val="D97706"/>
          <w:sz w:val="20"/>
          <w:szCs w:val="20"/>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val="false"/>
        <w:pBdr>
          <w:bottom w:val="single" w:color="A1A1AB" w:sz="4" w:space="1"/>
        </w:pBdr>
        <w:spacing w:after="0" w:before="0" w:line="420"/>
      </w:pPr>
      <w:r>
        <w:rPr>
          <w:rFonts w:ascii="Arial" w:cs="Arial" w:eastAsia="Arial" w:hAnsi="Arial"/>
          <w:color w:val="1F2937"/>
          <w:sz w:val="22"/>
          <w:szCs w:val="22"/>
        </w:rPr>
        <w:t xml:space="preserve"> </w:t>
      </w:r>
    </w:p>
    <w:p>
      <w:pPr>
        <w:spacing w:after="40" w:before="0" w:line="276"/>
      </w:pPr>
      <w:r>
        <w:rPr>
          <w:rFonts w:ascii="Arial" w:cs="Arial" w:eastAsia="Arial" w:hAnsi="Arial"/>
          <w:color w:val="1F2937"/>
          <w:sz w:val="22"/>
          <w:szCs w:val="22"/>
        </w:rPr>
        <w:t xml:space="preserve"> </w:t>
      </w:r>
    </w:p>
    <w:p>
      <w:pPr>
        <w:keepNext/>
        <w:spacing w:after="40" w:before="200"/>
      </w:pPr>
      <w:r>
        <w:rPr>
          <w:rFonts w:ascii="Arial" w:cs="Arial" w:eastAsia="Arial" w:hAnsi="Arial"/>
          <w:b/>
          <w:bCs/>
          <w:color w:val="6D28D9"/>
          <w:sz w:val="22"/>
          <w:szCs w:val="22"/>
        </w:rPr>
        <w:t xml:space="preserve">3.2  </w:t>
      </w:r>
      <w:r>
        <w:rPr>
          <w:rFonts w:ascii="Arial" w:cs="Arial" w:eastAsia="Arial" w:hAnsi="Arial"/>
          <w:color w:val="1F2937"/>
          <w:sz w:val="22"/>
          <w:szCs w:val="22"/>
        </w:rPr>
        <w:t xml:space="preserve">Sulfonation, unlike nitration, DOES show a kinetic isotope effect (C₆D₆ reacts more slowly) and is reversible. Suggest what this tells you about the energy profile for sulfonation.</w:t>
      </w:r>
      <w:r>
        <w:rPr>
          <w:rFonts w:ascii="Arial" w:cs="Arial" w:eastAsia="Arial" w:hAnsi="Arial"/>
          <w:b/>
          <w:bCs/>
          <w:color w:val="D97706"/>
          <w:sz w:val="20"/>
          <w:szCs w:val="20"/>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val="false"/>
        <w:pBdr>
          <w:bottom w:val="single" w:color="A1A1AA" w:sz="4" w:space="1"/>
        </w:pBdr>
        <w:spacing w:after="0" w:before="0" w:line="420"/>
      </w:pPr>
      <w:r>
        <w:rPr>
          <w:rFonts w:ascii="Arial" w:cs="Arial" w:eastAsia="Arial" w:hAnsi="Arial"/>
          <w:color w:val="1F2937"/>
          <w:sz w:val="22"/>
          <w:szCs w:val="22"/>
        </w:rPr>
        <w:t xml:space="preserve"> </w:t>
      </w:r>
    </w:p>
    <w:p>
      <w:pPr>
        <w:spacing w:after="40" w:before="0" w:line="276"/>
      </w:pPr>
      <w:r>
        <w:rPr>
          <w:rFonts w:ascii="Arial" w:cs="Arial" w:eastAsia="Arial" w:hAnsi="Arial"/>
          <w:color w:val="1F2937"/>
          <w:sz w:val="22"/>
          <w:szCs w:val="22"/>
        </w:rPr>
        <w:t xml:space="preserve"> </w:t>
      </w:r>
    </w:p>
    <w:p>
      <w:pPr>
        <w:keepNext/>
        <w:spacing w:after="40" w:before="200"/>
      </w:pPr>
      <w:r>
        <w:rPr>
          <w:rFonts w:ascii="Arial" w:cs="Arial" w:eastAsia="Arial" w:hAnsi="Arial"/>
          <w:b/>
          <w:bCs/>
          <w:color w:val="6D28D9"/>
          <w:sz w:val="22"/>
          <w:szCs w:val="22"/>
        </w:rPr>
        <w:t xml:space="preserve">3.3  </w:t>
      </w:r>
      <w:r>
        <w:rPr>
          <w:rFonts w:ascii="Arial" w:cs="Arial" w:eastAsia="Arial" w:hAnsi="Arial"/>
          <w:color w:val="1F2937"/>
          <w:sz w:val="22"/>
          <w:szCs w:val="22"/>
        </w:rPr>
        <w:t xml:space="preserve">Use the energy profile to explain why the intermediate does not simply pick up HSO₄⁻ (or Br⁻) to give an addition product, as an alkene intermediate would.</w:t>
      </w:r>
      <w:r>
        <w:rPr>
          <w:rFonts w:ascii="Arial" w:cs="Arial" w:eastAsia="Arial" w:hAnsi="Arial"/>
          <w:b/>
          <w:bCs/>
          <w:color w:val="D97706"/>
          <w:sz w:val="20"/>
          <w:szCs w:val="20"/>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val="false"/>
        <w:pBdr>
          <w:bottom w:val="single" w:color="A1A1AA" w:sz="4" w:space="1"/>
        </w:pBdr>
        <w:spacing w:after="0" w:before="0" w:line="420"/>
      </w:pPr>
      <w:r>
        <w:rPr>
          <w:rFonts w:ascii="Arial" w:cs="Arial" w:eastAsia="Arial" w:hAnsi="Arial"/>
          <w:color w:val="1F2937"/>
          <w:sz w:val="22"/>
          <w:szCs w:val="22"/>
        </w:rPr>
        <w:t xml:space="preserve"> </w:t>
      </w:r>
    </w:p>
    <w:p>
      <w:pPr>
        <w:spacing w:after="40" w:before="0" w:line="276"/>
      </w:pPr>
      <w:r>
        <w:rPr>
          <w:rFonts w:ascii="Arial" w:cs="Arial" w:eastAsia="Arial" w:hAnsi="Arial"/>
          <w:color w:val="1F2937"/>
          <w:sz w:val="22"/>
          <w:szCs w:val="22"/>
        </w:rPr>
        <w:t xml:space="preserve"> </w:t>
      </w:r>
    </w:p>
    <w:tbl>
      <w:tblPr>
        <w:tblW w:type="dxa" w:w="9640"/>
        <w:tblBorders>
          <w:top w:val="single" w:color="CBD5E1" w:sz="8"/>
          <w:left w:val="single" w:color="CBD5E1" w:sz="8"/>
          <w:bottom w:val="single" w:color="CBD5E1" w:sz="8"/>
          <w:right w:val="single" w:color="CBD5E1" w:sz="8"/>
          <w:insideH w:val="single" w:color="CBD5E1" w:sz="8"/>
          <w:insideV w:val="single" w:color="CBD5E1" w:sz="8"/>
        </w:tblBorders>
      </w:tblPr>
      <w:tblGrid>
        <w:gridCol w:w="9640"/>
      </w:tblGrid>
      <w:tr>
        <w:trPr>
          <w:cantSplit/>
        </w:trPr>
        <w:tc>
          <w:tcPr>
            <w:tcW w:type="dxa" w:w="9640"/>
            <w:shd w:fill="F8FAFC" w:color="auto" w:val="clear"/>
            <w:tcMar>
              <w:top w:type="dxa" w:w="100"/>
              <w:left w:type="dxa" w:w="160"/>
              <w:bottom w:type="dxa" w:w="100"/>
              <w:right w:type="dxa" w:w="160"/>
            </w:tcMar>
          </w:tcPr>
          <w:p>
            <w:pPr>
              <w:spacing w:after="40" w:before="0" w:line="276"/>
            </w:pPr>
            <w:r>
              <w:rPr>
                <w:rFonts w:ascii="Arial" w:cs="Arial" w:eastAsia="Arial" w:hAnsi="Arial"/>
                <w:b/>
                <w:bCs/>
                <w:color w:val="6D28D9"/>
                <w:sz w:val="20"/>
                <w:szCs w:val="20"/>
              </w:rPr>
              <w:t xml:space="preserve">Reading for this section</w:t>
            </w:r>
          </w:p>
          <w:p>
            <w:pPr>
              <w:spacing w:after="20" w:before="20" w:line="276"/>
              <w:ind w:left="200" w:hanging="200"/>
            </w:pPr>
            <w:r>
              <w:rPr>
                <w:rFonts w:ascii="Arial" w:cs="Arial" w:eastAsia="Arial" w:hAnsi="Arial"/>
                <w:b/>
                <w:bCs/>
                <w:color w:val="6D28D9"/>
                <w:sz w:val="19"/>
                <w:szCs w:val="19"/>
              </w:rPr>
              <w:t xml:space="preserve">▸ </w:t>
            </w:r>
            <w:r>
              <w:rPr>
                <w:rFonts w:ascii="Arial" w:cs="Arial" w:eastAsia="Arial" w:hAnsi="Arial"/>
                <w:color w:val="1F2937"/>
                <w:sz w:val="19"/>
                <w:szCs w:val="19"/>
              </w:rPr>
              <w:t xml:space="preserve">Clayden ch. 21 'Electrophilic aromatic substitution'</w:t>
            </w:r>
            <w:r>
              <w:rPr>
                <w:rFonts w:ascii="Arial" w:cs="Arial" w:eastAsia="Arial" w:hAnsi="Arial"/>
                <w:i/>
                <w:iCs/>
                <w:color w:val="4B5563"/>
                <w:sz w:val="19"/>
                <w:szCs w:val="19"/>
              </w:rPr>
              <w:t xml:space="preserve">  —  the mechanism as chemists draw it, with the σ-complex</w:t>
            </w:r>
          </w:p>
          <w:p>
            <w:pPr>
              <w:spacing w:after="20" w:before="20" w:line="276"/>
              <w:ind w:left="200" w:hanging="200"/>
            </w:pPr>
            <w:r>
              <w:rPr>
                <w:rFonts w:ascii="Arial" w:cs="Arial" w:eastAsia="Arial" w:hAnsi="Arial"/>
                <w:b/>
                <w:bCs/>
                <w:color w:val="6D28D9"/>
                <w:sz w:val="19"/>
                <w:szCs w:val="19"/>
              </w:rPr>
              <w:t xml:space="preserve">▸ </w:t>
            </w:r>
            <w:r>
              <w:rPr>
                <w:rFonts w:ascii="Arial" w:cs="Arial" w:eastAsia="Arial" w:hAnsi="Arial"/>
                <w:color w:val="1F2937"/>
                <w:sz w:val="19"/>
                <w:szCs w:val="19"/>
              </w:rPr>
              <w:t xml:space="preserve">G. W. Wheland, J. Am. Chem. Soc. 1942, 64, 900</w:t>
            </w:r>
            <w:r>
              <w:rPr>
                <w:rFonts w:ascii="Arial" w:cs="Arial" w:eastAsia="Arial" w:hAnsi="Arial"/>
                <w:i/>
                <w:iCs/>
                <w:color w:val="4B5563"/>
                <w:sz w:val="19"/>
                <w:szCs w:val="19"/>
              </w:rPr>
              <w:t xml:space="preserve">  —  the paper that gave the intermediate its name</w:t>
            </w:r>
          </w:p>
        </w:tc>
      </w:tr>
    </w:tbl>
    <w:p>
      <w:pPr>
        <w:spacing w:after="40" w:before="0" w:line="276"/>
      </w:pPr>
      <w:r>
        <w:rPr>
          <w:rFonts w:ascii="Arial" w:cs="Arial" w:eastAsia="Arial" w:hAnsi="Arial"/>
          <w:color w:val="1F2937"/>
          <w:sz w:val="22"/>
          <w:szCs w:val="22"/>
        </w:rPr>
        <w:t xml:space="preserve"> </w:t>
      </w:r>
    </w:p>
    <w:p>
      <w:pPr>
        <w:pageBreakBefore/>
        <w:spacing w:after="0" w:before="0" w:line="20"/>
      </w:pPr>
      <w:r>
        <w:rPr>
          <w:sz w:val="2"/>
          <w:szCs w:val="2"/>
        </w:rPr>
        <w:t xml:space="preserve"/>
      </w:r>
    </w:p>
    <w:tbl>
      <w:tblPr>
        <w:tblW w:type="dxa" w:w="9640"/>
        <w:tblBorders>
          <w:top w:val="none" w:color="FFFFFF" w:sz="0"/>
          <w:left w:val="none" w:color="FFFFFF" w:sz="0"/>
          <w:bottom w:val="none" w:color="FFFFFF" w:sz="0"/>
          <w:right w:val="none" w:color="FFFFFF" w:sz="0"/>
          <w:insideH w:val="none" w:color="FFFFFF" w:sz="0"/>
          <w:insideV w:val="none" w:color="FFFFFF" w:sz="0"/>
        </w:tblBorders>
      </w:tblPr>
      <w:tblGrid>
        <w:gridCol w:w="9640"/>
      </w:tblGrid>
      <w:tr>
        <w:trPr>
          <w:cantSplit/>
        </w:trPr>
        <w:tc>
          <w:tcPr>
            <w:tcW w:type="dxa" w:w="9640"/>
            <w:shd w:fill="6D28D9" w:color="auto" w:val="clear"/>
            <w:tcMar>
              <w:top w:type="dxa" w:w="160"/>
              <w:left w:type="dxa" w:w="240"/>
              <w:bottom w:type="dxa" w:w="160"/>
              <w:right w:type="dxa" w:w="240"/>
            </w:tcMar>
          </w:tcPr>
          <w:p>
            <w:pPr>
              <w:tabs>
                <w:tab w:val="right" w:pos="9160"/>
              </w:tabs>
              <w:spacing w:after="0" w:before="0" w:line="276"/>
            </w:pPr>
            <w:r>
              <w:rPr>
                <w:rFonts w:ascii="Arial" w:cs="Arial" w:eastAsia="Arial" w:hAnsi="Arial"/>
                <w:b/>
                <w:bCs/>
                <w:color w:val="FFFFFF"/>
                <w:sz w:val="22"/>
                <w:szCs w:val="22"/>
              </w:rPr>
              <w:t xml:space="preserve">Section 4</w:t>
            </w:r>
            <w:r>
              <w:rPr>
                <w:rFonts w:ascii="Arial" w:cs="Arial" w:eastAsia="Arial" w:hAnsi="Arial"/>
                <w:b/>
                <w:bCs/>
                <w:color w:val="FFFFFF"/>
                <w:sz w:val="18"/>
                <w:szCs w:val="18"/>
              </w:rPr>
              <w:t xml:space="preserve">	PART A · FIRST-YEAR UNDERGRADUATE LEVEL</w:t>
            </w:r>
          </w:p>
          <w:p>
            <w:pPr>
              <w:spacing w:after="40" w:before="40" w:line="276"/>
            </w:pPr>
            <w:r>
              <w:rPr>
                <w:rFonts w:ascii="Arial" w:cs="Arial" w:eastAsia="Arial" w:hAnsi="Arial"/>
                <w:b/>
                <w:bCs/>
                <w:color w:val="FFFFFF"/>
                <w:sz w:val="32"/>
                <w:szCs w:val="32"/>
              </w:rPr>
              <w:t xml:space="preserve">Directing effects — the real reason</w:t>
            </w:r>
          </w:p>
          <w:p>
            <w:pPr>
              <w:spacing w:after="0" w:before="0" w:line="276"/>
            </w:pPr>
            <w:r>
              <w:rPr>
                <w:rFonts w:ascii="Arial" w:cs="Arial" w:eastAsia="Arial" w:hAnsi="Arial"/>
                <w:i/>
                <w:iCs/>
                <w:color w:val="F5F3FF"/>
                <w:sz w:val="21"/>
                <w:szCs w:val="21"/>
              </w:rPr>
              <w:t xml:space="preserve">The specification gives you a rule (OH/NH₂ → 2,4; NO₂ → 3). Here is the explanation a first-year undergraduate is expected to give.</w:t>
            </w:r>
          </w:p>
        </w:tc>
      </w:tr>
    </w:tbl>
    <w:p>
      <w:pPr>
        <w:spacing w:after="40" w:before="0" w:line="276"/>
      </w:pPr>
      <w:r>
        <w:rPr>
          <w:rFonts w:ascii="Arial" w:cs="Arial" w:eastAsia="Arial" w:hAnsi="Arial"/>
          <w:color w:val="1F2937"/>
          <w:sz w:val="22"/>
          <w:szCs w:val="22"/>
        </w:rPr>
        <w:t xml:space="preserve"> </w:t>
      </w:r>
    </w:p>
    <w:p>
      <w:pPr>
        <w:spacing w:after="40" w:before="60" w:line="276"/>
      </w:pPr>
      <w:r>
        <w:rPr>
          <w:rFonts w:ascii="Arial" w:cs="Arial" w:eastAsia="Arial" w:hAnsi="Arial"/>
          <w:color w:val="1F2937"/>
          <w:sz w:val="22"/>
          <w:szCs w:val="22"/>
        </w:rPr>
        <w:t xml:space="preserve">Draw the intermediate for attack at each position and count the resonance forms. Attack ortho or para to an electron-donating group with a lone pair (–OH, –NH₂, –OCH₃, –Cl) gives an EXTRA form in which the heteroatom lone pair makes a C=O⁺ or C=N⁺ bond — every atom has a full octet, so this form is unusually stable. Attack meta cannot do this.</w:t>
      </w:r>
    </w:p>
    <w:p>
      <w:pPr>
        <w:spacing w:after="80" w:before="80"/>
        <w:jc w:val="center"/>
      </w:pPr>
      <w:r>
        <w:drawing>
          <wp:inline distT="0" distB="0" distL="0" distR="0">
            <wp:extent cx="5848350" cy="17907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 cstate="none"/>
                    <a:srcRect/>
                    <a:stretch>
                      <a:fillRect/>
                    </a:stretch>
                  </pic:blipFill>
                  <pic:spPr bwMode="auto">
                    <a:xfrm>
                      <a:off x="0" y="0"/>
                      <a:ext cx="5848350" cy="1790700"/>
                    </a:xfrm>
                    <a:prstGeom prst="rect">
                      <a:avLst/>
                    </a:prstGeom>
                  </pic:spPr>
                </pic:pic>
              </a:graphicData>
            </a:graphic>
          </wp:inline>
        </w:drawing>
      </w:r>
    </w:p>
    <w:p>
      <w:pPr>
        <w:spacing w:after="100" w:before="0" w:line="276"/>
        <w:jc w:val="center"/>
      </w:pPr>
      <w:r>
        <w:rPr>
          <w:rFonts w:ascii="Arial" w:cs="Arial" w:eastAsia="Arial" w:hAnsi="Arial"/>
          <w:i/>
          <w:iCs/>
          <w:color w:val="6B7280"/>
          <w:sz w:val="18"/>
          <w:szCs w:val="18"/>
        </w:rPr>
        <w:t xml:space="preserve">Attack at position 2 of phenol: four resonance forms, including the oxonium form on the right.</w:t>
      </w:r>
    </w:p>
    <w:p>
      <w:pPr>
        <w:spacing w:after="40" w:before="60" w:line="276"/>
      </w:pPr>
      <w:r>
        <w:rPr>
          <w:rFonts w:ascii="Arial" w:cs="Arial" w:eastAsia="Arial" w:hAnsi="Arial"/>
          <w:color w:val="1F2937"/>
          <w:sz w:val="22"/>
          <w:szCs w:val="22"/>
        </w:rPr>
        <w:t xml:space="preserve">For an electron-withdrawing group such as –NO₂, ortho/para attack places the positive charge on the carbon bonded to the δ+ nitrogen (like charges adjacent — very unfavourable). Meta attack keeps the charge away from that carbon. So –NO₂ deactivates every position, but meta LEAST.</w:t>
      </w:r>
    </w:p>
    <w:tbl>
      <w:tblPr>
        <w:tblW w:type="dxa" w:w="9640"/>
        <w:tblBorders>
          <w:top w:val="single" w:color="CBD5E1" w:sz="6"/>
          <w:left w:val="single" w:color="CBD5E1" w:sz="6"/>
          <w:bottom w:val="single" w:color="CBD5E1" w:sz="6"/>
          <w:right w:val="single" w:color="CBD5E1" w:sz="6"/>
          <w:insideH w:val="single" w:color="CBD5E1" w:sz="6"/>
          <w:insideV w:val="single" w:color="CBD5E1" w:sz="6"/>
        </w:tblBorders>
      </w:tblPr>
      <w:tblGrid>
        <w:gridCol w:w="2674"/>
        <w:gridCol w:w="1829"/>
        <w:gridCol w:w="2674"/>
        <w:gridCol w:w="1478"/>
        <w:gridCol w:w="985"/>
      </w:tblGrid>
      <w:tr>
        <w:trPr>
          <w:tblHeader/>
        </w:trPr>
        <w:tc>
          <w:tcPr>
            <w:tcW w:type="dxa" w:w="2674"/>
            <w:shd w:fill="6D28D9" w:color="auto" w:val="clear"/>
            <w:tcMar>
              <w:top w:type="dxa" w:w="60"/>
              <w:left w:type="dxa" w:w="100"/>
              <w:bottom w:type="dxa" w:w="60"/>
              <w:right w:type="dxa" w:w="100"/>
            </w:tcMar>
            <w:vAlign w:val="center"/>
          </w:tcPr>
          <w:p>
            <w:pPr>
              <w:spacing w:after="0" w:before="0" w:line="276"/>
            </w:pPr>
            <w:r>
              <w:rPr>
                <w:rFonts w:ascii="Arial" w:cs="Arial" w:eastAsia="Arial" w:hAnsi="Arial"/>
                <w:b/>
                <w:bCs/>
                <w:color w:val="FFFFFF"/>
                <w:sz w:val="20"/>
                <w:szCs w:val="20"/>
              </w:rPr>
              <w:t xml:space="preserve">Group</w:t>
            </w:r>
          </w:p>
        </w:tc>
        <w:tc>
          <w:tcPr>
            <w:tcW w:type="dxa" w:w="1829"/>
            <w:shd w:fill="6D28D9" w:color="auto" w:val="clear"/>
            <w:tcMar>
              <w:top w:type="dxa" w:w="60"/>
              <w:left w:type="dxa" w:w="100"/>
              <w:bottom w:type="dxa" w:w="60"/>
              <w:right w:type="dxa" w:w="100"/>
            </w:tcMar>
            <w:vAlign w:val="center"/>
          </w:tcPr>
          <w:p>
            <w:pPr>
              <w:spacing w:after="0" w:before="0" w:line="276"/>
            </w:pPr>
            <w:r>
              <w:rPr>
                <w:rFonts w:ascii="Arial" w:cs="Arial" w:eastAsia="Arial" w:hAnsi="Arial"/>
                <w:b/>
                <w:bCs/>
                <w:color w:val="FFFFFF"/>
                <w:sz w:val="20"/>
                <w:szCs w:val="20"/>
              </w:rPr>
              <w:t xml:space="preserve">Inductive effect</w:t>
            </w:r>
          </w:p>
        </w:tc>
        <w:tc>
          <w:tcPr>
            <w:tcW w:type="dxa" w:w="2674"/>
            <w:shd w:fill="6D28D9" w:color="auto" w:val="clear"/>
            <w:tcMar>
              <w:top w:type="dxa" w:w="60"/>
              <w:left w:type="dxa" w:w="100"/>
              <w:bottom w:type="dxa" w:w="60"/>
              <w:right w:type="dxa" w:w="100"/>
            </w:tcMar>
            <w:vAlign w:val="center"/>
          </w:tcPr>
          <w:p>
            <w:pPr>
              <w:spacing w:after="0" w:before="0" w:line="276"/>
            </w:pPr>
            <w:r>
              <w:rPr>
                <w:rFonts w:ascii="Arial" w:cs="Arial" w:eastAsia="Arial" w:hAnsi="Arial"/>
                <w:b/>
                <w:bCs/>
                <w:color w:val="FFFFFF"/>
                <w:sz w:val="20"/>
                <w:szCs w:val="20"/>
              </w:rPr>
              <w:t xml:space="preserve">Mesomeric (resonance) effect</w:t>
            </w:r>
          </w:p>
        </w:tc>
        <w:tc>
          <w:tcPr>
            <w:tcW w:type="dxa" w:w="1478"/>
            <w:shd w:fill="6D28D9" w:color="auto" w:val="clear"/>
            <w:tcMar>
              <w:top w:type="dxa" w:w="60"/>
              <w:left w:type="dxa" w:w="100"/>
              <w:bottom w:type="dxa" w:w="60"/>
              <w:right w:type="dxa" w:w="100"/>
            </w:tcMar>
            <w:vAlign w:val="center"/>
          </w:tcPr>
          <w:p>
            <w:pPr>
              <w:spacing w:after="0" w:before="0" w:line="276"/>
            </w:pPr>
            <w:r>
              <w:rPr>
                <w:rFonts w:ascii="Arial" w:cs="Arial" w:eastAsia="Arial" w:hAnsi="Arial"/>
                <w:b/>
                <w:bCs/>
                <w:color w:val="FFFFFF"/>
                <w:sz w:val="20"/>
                <w:szCs w:val="20"/>
              </w:rPr>
              <w:t xml:space="preserve">Overall</w:t>
            </w:r>
          </w:p>
        </w:tc>
        <w:tc>
          <w:tcPr>
            <w:tcW w:type="dxa" w:w="985"/>
            <w:shd w:fill="6D28D9" w:color="auto" w:val="clear"/>
            <w:tcMar>
              <w:top w:type="dxa" w:w="60"/>
              <w:left w:type="dxa" w:w="100"/>
              <w:bottom w:type="dxa" w:w="60"/>
              <w:right w:type="dxa" w:w="100"/>
            </w:tcMar>
            <w:vAlign w:val="center"/>
          </w:tcPr>
          <w:p>
            <w:pPr>
              <w:spacing w:after="0" w:before="0" w:line="276"/>
            </w:pPr>
            <w:r>
              <w:rPr>
                <w:rFonts w:ascii="Arial" w:cs="Arial" w:eastAsia="Arial" w:hAnsi="Arial"/>
                <w:b/>
                <w:bCs/>
                <w:color w:val="FFFFFF"/>
                <w:sz w:val="20"/>
                <w:szCs w:val="20"/>
              </w:rPr>
              <w:t xml:space="preserve">Directs to</w:t>
            </w:r>
          </w:p>
        </w:tc>
      </w:tr>
      <w:tr>
        <w:tc>
          <w:tcPr>
            <w:tcW w:type="dxa" w:w="2674"/>
            <w:shd w:fill="F1F5F9" w:color="auto" w:val="clear"/>
            <w:tcMar>
              <w:top w:type="dxa" w:w="60"/>
              <w:left w:type="dxa" w:w="100"/>
              <w:bottom w:type="dxa" w:w="60"/>
              <w:right w:type="dxa" w:w="100"/>
            </w:tcMar>
            <w:vAlign w:val="center"/>
          </w:tcPr>
          <w:p>
            <w:pPr>
              <w:spacing w:after="0" w:before="0" w:line="276"/>
            </w:pPr>
            <w:r>
              <w:rPr>
                <w:rFonts w:ascii="Arial" w:cs="Arial" w:eastAsia="Arial" w:hAnsi="Arial"/>
                <w:b/>
                <w:bCs/>
                <w:color w:val="1F2937"/>
                <w:sz w:val="20"/>
                <w:szCs w:val="20"/>
              </w:rPr>
              <w:t xml:space="preserve">–O⁻, –OH, –NH₂, –OCH₃</w:t>
            </w:r>
          </w:p>
        </w:tc>
        <w:tc>
          <w:tcPr>
            <w:tcW w:type="dxa" w:w="1829"/>
            <w:shd w:fill="FFFFFF" w:color="auto" w:val="clear"/>
            <w:tcMar>
              <w:top w:type="dxa" w:w="60"/>
              <w:left w:type="dxa" w:w="100"/>
              <w:bottom w:type="dxa" w:w="60"/>
              <w:right w:type="dxa" w:w="100"/>
            </w:tcMar>
            <w:vAlign w:val="center"/>
          </w:tcPr>
          <w:p>
            <w:pPr>
              <w:spacing w:after="0" w:before="0" w:line="276"/>
            </w:pPr>
            <w:r>
              <w:rPr>
                <w:rFonts w:ascii="Arial" w:cs="Arial" w:eastAsia="Arial" w:hAnsi="Arial"/>
                <w:b w:val="false"/>
                <w:bCs w:val="false"/>
                <w:color w:val="1F2937"/>
                <w:sz w:val="20"/>
                <w:szCs w:val="20"/>
              </w:rPr>
              <w:t xml:space="preserve">−I (electronegative)</w:t>
            </w:r>
          </w:p>
        </w:tc>
        <w:tc>
          <w:tcPr>
            <w:tcW w:type="dxa" w:w="2674"/>
            <w:shd w:fill="FFFFFF" w:color="auto" w:val="clear"/>
            <w:tcMar>
              <w:top w:type="dxa" w:w="60"/>
              <w:left w:type="dxa" w:w="100"/>
              <w:bottom w:type="dxa" w:w="60"/>
              <w:right w:type="dxa" w:w="100"/>
            </w:tcMar>
            <w:vAlign w:val="center"/>
          </w:tcPr>
          <w:p>
            <w:pPr>
              <w:spacing w:after="0" w:before="0" w:line="276"/>
            </w:pPr>
            <w:r>
              <w:rPr>
                <w:rFonts w:ascii="Arial" w:cs="Arial" w:eastAsia="Arial" w:hAnsi="Arial"/>
                <w:b w:val="false"/>
                <w:bCs w:val="false"/>
                <w:color w:val="1F2937"/>
                <w:sz w:val="20"/>
                <w:szCs w:val="20"/>
              </w:rPr>
              <w:t xml:space="preserve">+M (strong): lone pair donation</w:t>
            </w:r>
          </w:p>
        </w:tc>
        <w:tc>
          <w:tcPr>
            <w:tcW w:type="dxa" w:w="1478"/>
            <w:shd w:fill="FFFFFF" w:color="auto" w:val="clear"/>
            <w:tcMar>
              <w:top w:type="dxa" w:w="60"/>
              <w:left w:type="dxa" w:w="100"/>
              <w:bottom w:type="dxa" w:w="60"/>
              <w:right w:type="dxa" w:w="100"/>
            </w:tcMar>
            <w:vAlign w:val="center"/>
          </w:tcPr>
          <w:p>
            <w:pPr>
              <w:spacing w:after="0" w:before="0" w:line="276"/>
            </w:pPr>
            <w:r>
              <w:rPr>
                <w:rFonts w:ascii="Arial" w:cs="Arial" w:eastAsia="Arial" w:hAnsi="Arial"/>
                <w:b w:val="false"/>
                <w:bCs w:val="false"/>
                <w:color w:val="1F2937"/>
                <w:sz w:val="20"/>
                <w:szCs w:val="20"/>
              </w:rPr>
              <w:t xml:space="preserve">activating</w:t>
            </w:r>
          </w:p>
        </w:tc>
        <w:tc>
          <w:tcPr>
            <w:tcW w:type="dxa" w:w="985"/>
            <w:shd w:fill="FFFFFF" w:color="auto" w:val="clear"/>
            <w:tcMar>
              <w:top w:type="dxa" w:w="60"/>
              <w:left w:type="dxa" w:w="100"/>
              <w:bottom w:type="dxa" w:w="60"/>
              <w:right w:type="dxa" w:w="100"/>
            </w:tcMar>
            <w:vAlign w:val="center"/>
          </w:tcPr>
          <w:p>
            <w:pPr>
              <w:spacing w:after="0" w:before="0" w:line="276"/>
            </w:pPr>
            <w:r>
              <w:rPr>
                <w:rFonts w:ascii="Arial" w:cs="Arial" w:eastAsia="Arial" w:hAnsi="Arial"/>
                <w:b w:val="false"/>
                <w:bCs w:val="false"/>
                <w:color w:val="1F2937"/>
                <w:sz w:val="20"/>
                <w:szCs w:val="20"/>
              </w:rPr>
              <w:t xml:space="preserve">2,4</w:t>
            </w:r>
          </w:p>
        </w:tc>
      </w:tr>
      <w:tr>
        <w:tc>
          <w:tcPr>
            <w:tcW w:type="dxa" w:w="2674"/>
            <w:shd w:fill="F1F5F9" w:color="auto" w:val="clear"/>
            <w:tcMar>
              <w:top w:type="dxa" w:w="60"/>
              <w:left w:type="dxa" w:w="100"/>
              <w:bottom w:type="dxa" w:w="60"/>
              <w:right w:type="dxa" w:w="100"/>
            </w:tcMar>
            <w:vAlign w:val="center"/>
          </w:tcPr>
          <w:p>
            <w:pPr>
              <w:spacing w:after="0" w:before="0" w:line="276"/>
            </w:pPr>
            <w:r>
              <w:rPr>
                <w:rFonts w:ascii="Arial" w:cs="Arial" w:eastAsia="Arial" w:hAnsi="Arial"/>
                <w:b/>
                <w:bCs/>
                <w:color w:val="1F2937"/>
                <w:sz w:val="20"/>
                <w:szCs w:val="20"/>
              </w:rPr>
              <w:t xml:space="preserve">–CH₃, alkyl</w:t>
            </w:r>
          </w:p>
        </w:tc>
        <w:tc>
          <w:tcPr>
            <w:tcW w:type="dxa" w:w="1829"/>
            <w:shd w:fill="FFFFFF" w:color="auto" w:val="clear"/>
            <w:tcMar>
              <w:top w:type="dxa" w:w="60"/>
              <w:left w:type="dxa" w:w="100"/>
              <w:bottom w:type="dxa" w:w="60"/>
              <w:right w:type="dxa" w:w="100"/>
            </w:tcMar>
            <w:vAlign w:val="center"/>
          </w:tcPr>
          <w:p>
            <w:pPr>
              <w:spacing w:after="0" w:before="0" w:line="276"/>
            </w:pPr>
            <w:r>
              <w:rPr>
                <w:rFonts w:ascii="Arial" w:cs="Arial" w:eastAsia="Arial" w:hAnsi="Arial"/>
                <w:b w:val="false"/>
                <w:bCs w:val="false"/>
                <w:color w:val="1F2937"/>
                <w:sz w:val="20"/>
                <w:szCs w:val="20"/>
              </w:rPr>
              <w:t xml:space="preserve">+I</w:t>
            </w:r>
          </w:p>
        </w:tc>
        <w:tc>
          <w:tcPr>
            <w:tcW w:type="dxa" w:w="2674"/>
            <w:shd w:fill="FFFFFF" w:color="auto" w:val="clear"/>
            <w:tcMar>
              <w:top w:type="dxa" w:w="60"/>
              <w:left w:type="dxa" w:w="100"/>
              <w:bottom w:type="dxa" w:w="60"/>
              <w:right w:type="dxa" w:w="100"/>
            </w:tcMar>
            <w:vAlign w:val="center"/>
          </w:tcPr>
          <w:p>
            <w:pPr>
              <w:spacing w:after="0" w:before="0" w:line="276"/>
            </w:pPr>
            <w:r>
              <w:rPr>
                <w:rFonts w:ascii="Arial" w:cs="Arial" w:eastAsia="Arial" w:hAnsi="Arial"/>
                <w:b w:val="false"/>
                <w:bCs w:val="false"/>
                <w:color w:val="1F2937"/>
                <w:sz w:val="20"/>
                <w:szCs w:val="20"/>
              </w:rPr>
              <w:t xml:space="preserve">weak + (hyperconjugation)</w:t>
            </w:r>
          </w:p>
        </w:tc>
        <w:tc>
          <w:tcPr>
            <w:tcW w:type="dxa" w:w="1478"/>
            <w:shd w:fill="FFFFFF" w:color="auto" w:val="clear"/>
            <w:tcMar>
              <w:top w:type="dxa" w:w="60"/>
              <w:left w:type="dxa" w:w="100"/>
              <w:bottom w:type="dxa" w:w="60"/>
              <w:right w:type="dxa" w:w="100"/>
            </w:tcMar>
            <w:vAlign w:val="center"/>
          </w:tcPr>
          <w:p>
            <w:pPr>
              <w:spacing w:after="0" w:before="0" w:line="276"/>
            </w:pPr>
            <w:r>
              <w:rPr>
                <w:rFonts w:ascii="Arial" w:cs="Arial" w:eastAsia="Arial" w:hAnsi="Arial"/>
                <w:b w:val="false"/>
                <w:bCs w:val="false"/>
                <w:color w:val="1F2937"/>
                <w:sz w:val="20"/>
                <w:szCs w:val="20"/>
              </w:rPr>
              <w:t xml:space="preserve">activating</w:t>
            </w:r>
          </w:p>
        </w:tc>
        <w:tc>
          <w:tcPr>
            <w:tcW w:type="dxa" w:w="985"/>
            <w:shd w:fill="FFFFFF" w:color="auto" w:val="clear"/>
            <w:tcMar>
              <w:top w:type="dxa" w:w="60"/>
              <w:left w:type="dxa" w:w="100"/>
              <w:bottom w:type="dxa" w:w="60"/>
              <w:right w:type="dxa" w:w="100"/>
            </w:tcMar>
            <w:vAlign w:val="center"/>
          </w:tcPr>
          <w:p>
            <w:pPr>
              <w:spacing w:after="0" w:before="0" w:line="276"/>
            </w:pPr>
            <w:r>
              <w:rPr>
                <w:rFonts w:ascii="Arial" w:cs="Arial" w:eastAsia="Arial" w:hAnsi="Arial"/>
                <w:b w:val="false"/>
                <w:bCs w:val="false"/>
                <w:color w:val="1F2937"/>
                <w:sz w:val="20"/>
                <w:szCs w:val="20"/>
              </w:rPr>
              <w:t xml:space="preserve">2,4</w:t>
            </w:r>
          </w:p>
        </w:tc>
      </w:tr>
      <w:tr>
        <w:tc>
          <w:tcPr>
            <w:tcW w:type="dxa" w:w="2674"/>
            <w:shd w:fill="F1F5F9" w:color="auto" w:val="clear"/>
            <w:tcMar>
              <w:top w:type="dxa" w:w="60"/>
              <w:left w:type="dxa" w:w="100"/>
              <w:bottom w:type="dxa" w:w="60"/>
              <w:right w:type="dxa" w:w="100"/>
            </w:tcMar>
            <w:vAlign w:val="center"/>
          </w:tcPr>
          <w:p>
            <w:pPr>
              <w:spacing w:after="0" w:before="0" w:line="276"/>
            </w:pPr>
            <w:r>
              <w:rPr>
                <w:rFonts w:ascii="Arial" w:cs="Arial" w:eastAsia="Arial" w:hAnsi="Arial"/>
                <w:b/>
                <w:bCs/>
                <w:color w:val="1F2937"/>
                <w:sz w:val="20"/>
                <w:szCs w:val="20"/>
              </w:rPr>
              <w:t xml:space="preserve">–Cl, –Br</w:t>
            </w:r>
          </w:p>
        </w:tc>
        <w:tc>
          <w:tcPr>
            <w:tcW w:type="dxa" w:w="1829"/>
            <w:shd w:fill="FFFFFF" w:color="auto" w:val="clear"/>
            <w:tcMar>
              <w:top w:type="dxa" w:w="60"/>
              <w:left w:type="dxa" w:w="100"/>
              <w:bottom w:type="dxa" w:w="60"/>
              <w:right w:type="dxa" w:w="100"/>
            </w:tcMar>
            <w:vAlign w:val="center"/>
          </w:tcPr>
          <w:p>
            <w:pPr>
              <w:spacing w:after="0" w:before="0" w:line="276"/>
            </w:pPr>
            <w:r>
              <w:rPr>
                <w:rFonts w:ascii="Arial" w:cs="Arial" w:eastAsia="Arial" w:hAnsi="Arial"/>
                <w:b w:val="false"/>
                <w:bCs w:val="false"/>
                <w:color w:val="1F2937"/>
                <w:sz w:val="20"/>
                <w:szCs w:val="20"/>
              </w:rPr>
              <w:t xml:space="preserve">−I (strong)</w:t>
            </w:r>
          </w:p>
        </w:tc>
        <w:tc>
          <w:tcPr>
            <w:tcW w:type="dxa" w:w="2674"/>
            <w:shd w:fill="FFFFFF" w:color="auto" w:val="clear"/>
            <w:tcMar>
              <w:top w:type="dxa" w:w="60"/>
              <w:left w:type="dxa" w:w="100"/>
              <w:bottom w:type="dxa" w:w="60"/>
              <w:right w:type="dxa" w:w="100"/>
            </w:tcMar>
            <w:vAlign w:val="center"/>
          </w:tcPr>
          <w:p>
            <w:pPr>
              <w:spacing w:after="0" w:before="0" w:line="276"/>
            </w:pPr>
            <w:r>
              <w:rPr>
                <w:rFonts w:ascii="Arial" w:cs="Arial" w:eastAsia="Arial" w:hAnsi="Arial"/>
                <w:b w:val="false"/>
                <w:bCs w:val="false"/>
                <w:color w:val="1F2937"/>
                <w:sz w:val="20"/>
                <w:szCs w:val="20"/>
              </w:rPr>
              <w:t xml:space="preserve">+M (weak): lone pair donation</w:t>
            </w:r>
          </w:p>
        </w:tc>
        <w:tc>
          <w:tcPr>
            <w:tcW w:type="dxa" w:w="1478"/>
            <w:shd w:fill="FFFFFF" w:color="auto" w:val="clear"/>
            <w:tcMar>
              <w:top w:type="dxa" w:w="60"/>
              <w:left w:type="dxa" w:w="100"/>
              <w:bottom w:type="dxa" w:w="60"/>
              <w:right w:type="dxa" w:w="100"/>
            </w:tcMar>
            <w:vAlign w:val="center"/>
          </w:tcPr>
          <w:p>
            <w:pPr>
              <w:spacing w:after="0" w:before="0" w:line="276"/>
            </w:pPr>
            <w:r>
              <w:rPr>
                <w:rFonts w:ascii="Arial" w:cs="Arial" w:eastAsia="Arial" w:hAnsi="Arial"/>
                <w:b w:val="false"/>
                <w:bCs w:val="false"/>
                <w:color w:val="1F2937"/>
                <w:sz w:val="20"/>
                <w:szCs w:val="20"/>
              </w:rPr>
              <w:t xml:space="preserve">deactivating</w:t>
            </w:r>
          </w:p>
        </w:tc>
        <w:tc>
          <w:tcPr>
            <w:tcW w:type="dxa" w:w="985"/>
            <w:shd w:fill="FFFFFF" w:color="auto" w:val="clear"/>
            <w:tcMar>
              <w:top w:type="dxa" w:w="60"/>
              <w:left w:type="dxa" w:w="100"/>
              <w:bottom w:type="dxa" w:w="60"/>
              <w:right w:type="dxa" w:w="100"/>
            </w:tcMar>
            <w:vAlign w:val="center"/>
          </w:tcPr>
          <w:p>
            <w:pPr>
              <w:spacing w:after="0" w:before="0" w:line="276"/>
            </w:pPr>
            <w:r>
              <w:rPr>
                <w:rFonts w:ascii="Arial" w:cs="Arial" w:eastAsia="Arial" w:hAnsi="Arial"/>
                <w:b w:val="false"/>
                <w:bCs w:val="false"/>
                <w:color w:val="1F2937"/>
                <w:sz w:val="20"/>
                <w:szCs w:val="20"/>
              </w:rPr>
              <w:t xml:space="preserve">2,4</w:t>
            </w:r>
          </w:p>
        </w:tc>
      </w:tr>
      <w:tr>
        <w:tc>
          <w:tcPr>
            <w:tcW w:type="dxa" w:w="2674"/>
            <w:shd w:fill="F1F5F9" w:color="auto" w:val="clear"/>
            <w:tcMar>
              <w:top w:type="dxa" w:w="60"/>
              <w:left w:type="dxa" w:w="100"/>
              <w:bottom w:type="dxa" w:w="60"/>
              <w:right w:type="dxa" w:w="100"/>
            </w:tcMar>
            <w:vAlign w:val="center"/>
          </w:tcPr>
          <w:p>
            <w:pPr>
              <w:spacing w:after="0" w:before="0" w:line="276"/>
            </w:pPr>
            <w:r>
              <w:rPr>
                <w:rFonts w:ascii="Arial" w:cs="Arial" w:eastAsia="Arial" w:hAnsi="Arial"/>
                <w:b/>
                <w:bCs/>
                <w:color w:val="1F2937"/>
                <w:sz w:val="20"/>
                <w:szCs w:val="20"/>
              </w:rPr>
              <w:t xml:space="preserve">–NO₂, –CN, –CHO, –COOH, –COOR, –SO₃H</w:t>
            </w:r>
          </w:p>
        </w:tc>
        <w:tc>
          <w:tcPr>
            <w:tcW w:type="dxa" w:w="1829"/>
            <w:shd w:fill="FFFFFF" w:color="auto" w:val="clear"/>
            <w:tcMar>
              <w:top w:type="dxa" w:w="60"/>
              <w:left w:type="dxa" w:w="100"/>
              <w:bottom w:type="dxa" w:w="60"/>
              <w:right w:type="dxa" w:w="100"/>
            </w:tcMar>
            <w:vAlign w:val="center"/>
          </w:tcPr>
          <w:p>
            <w:pPr>
              <w:spacing w:after="0" w:before="0" w:line="276"/>
            </w:pPr>
            <w:r>
              <w:rPr>
                <w:rFonts w:ascii="Arial" w:cs="Arial" w:eastAsia="Arial" w:hAnsi="Arial"/>
                <w:b w:val="false"/>
                <w:bCs w:val="false"/>
                <w:color w:val="1F2937"/>
                <w:sz w:val="20"/>
                <w:szCs w:val="20"/>
              </w:rPr>
              <w:t xml:space="preserve">−I</w:t>
            </w:r>
          </w:p>
        </w:tc>
        <w:tc>
          <w:tcPr>
            <w:tcW w:type="dxa" w:w="2674"/>
            <w:shd w:fill="FFFFFF" w:color="auto" w:val="clear"/>
            <w:tcMar>
              <w:top w:type="dxa" w:w="60"/>
              <w:left w:type="dxa" w:w="100"/>
              <w:bottom w:type="dxa" w:w="60"/>
              <w:right w:type="dxa" w:w="100"/>
            </w:tcMar>
            <w:vAlign w:val="center"/>
          </w:tcPr>
          <w:p>
            <w:pPr>
              <w:spacing w:after="0" w:before="0" w:line="276"/>
            </w:pPr>
            <w:r>
              <w:rPr>
                <w:rFonts w:ascii="Arial" w:cs="Arial" w:eastAsia="Arial" w:hAnsi="Arial"/>
                <w:b w:val="false"/>
                <w:bCs w:val="false"/>
                <w:color w:val="1F2937"/>
                <w:sz w:val="20"/>
                <w:szCs w:val="20"/>
              </w:rPr>
              <w:t xml:space="preserve">−M: withdraws by resonance</w:t>
            </w:r>
          </w:p>
        </w:tc>
        <w:tc>
          <w:tcPr>
            <w:tcW w:type="dxa" w:w="1478"/>
            <w:shd w:fill="FFFFFF" w:color="auto" w:val="clear"/>
            <w:tcMar>
              <w:top w:type="dxa" w:w="60"/>
              <w:left w:type="dxa" w:w="100"/>
              <w:bottom w:type="dxa" w:w="60"/>
              <w:right w:type="dxa" w:w="100"/>
            </w:tcMar>
            <w:vAlign w:val="center"/>
          </w:tcPr>
          <w:p>
            <w:pPr>
              <w:spacing w:after="0" w:before="0" w:line="276"/>
            </w:pPr>
            <w:r>
              <w:rPr>
                <w:rFonts w:ascii="Arial" w:cs="Arial" w:eastAsia="Arial" w:hAnsi="Arial"/>
                <w:b w:val="false"/>
                <w:bCs w:val="false"/>
                <w:color w:val="1F2937"/>
                <w:sz w:val="20"/>
                <w:szCs w:val="20"/>
              </w:rPr>
              <w:t xml:space="preserve">deactivating</w:t>
            </w:r>
          </w:p>
        </w:tc>
        <w:tc>
          <w:tcPr>
            <w:tcW w:type="dxa" w:w="985"/>
            <w:shd w:fill="FFFFFF" w:color="auto" w:val="clear"/>
            <w:tcMar>
              <w:top w:type="dxa" w:w="60"/>
              <w:left w:type="dxa" w:w="100"/>
              <w:bottom w:type="dxa" w:w="60"/>
              <w:right w:type="dxa" w:w="100"/>
            </w:tcMar>
            <w:vAlign w:val="center"/>
          </w:tcPr>
          <w:p>
            <w:pPr>
              <w:spacing w:after="0" w:before="0" w:line="276"/>
            </w:pPr>
            <w:r>
              <w:rPr>
                <w:rFonts w:ascii="Arial" w:cs="Arial" w:eastAsia="Arial" w:hAnsi="Arial"/>
                <w:b w:val="false"/>
                <w:bCs w:val="false"/>
                <w:color w:val="1F2937"/>
                <w:sz w:val="20"/>
                <w:szCs w:val="20"/>
              </w:rPr>
              <w:t xml:space="preserve">3</w:t>
            </w:r>
          </w:p>
        </w:tc>
      </w:tr>
    </w:tbl>
    <w:p>
      <w:pPr>
        <w:spacing w:after="40" w:before="0" w:line="276"/>
      </w:pPr>
      <w:r>
        <w:rPr>
          <w:rFonts w:ascii="Arial" w:cs="Arial" w:eastAsia="Arial" w:hAnsi="Arial"/>
          <w:color w:val="1F2937"/>
          <w:sz w:val="22"/>
          <w:szCs w:val="22"/>
        </w:rPr>
        <w:t xml:space="preserve"> </w:t>
      </w:r>
    </w:p>
    <w:p>
      <w:pPr>
        <w:spacing w:after="40" w:before="60" w:line="276"/>
      </w:pPr>
      <w:r>
        <w:rPr>
          <w:rFonts w:ascii="Arial" w:cs="Arial" w:eastAsia="Arial" w:hAnsi="Arial"/>
          <w:color w:val="1F2937"/>
          <w:sz w:val="22"/>
          <w:szCs w:val="22"/>
        </w:rPr>
        <w:t xml:space="preserve">Partial rate factors compare ONE position of a substituted ring with ONE position of benzene. For the nitration of methylbenzene: ortho 42, meta 2.5, para 58 — the methyl group activates every position, but 2,4 far more. For chlorobenzene: ortho 0.030, meta 0.0009, para 0.14 — every position is deactivated, but 2,4 are deactivated least.</w:t>
      </w:r>
    </w:p>
    <w:p>
      <w:pPr>
        <w:keepNext/>
        <w:spacing w:after="40" w:before="200"/>
      </w:pPr>
      <w:r>
        <w:rPr>
          <w:rFonts w:ascii="Arial" w:cs="Arial" w:eastAsia="Arial" w:hAnsi="Arial"/>
          <w:b/>
          <w:bCs/>
          <w:color w:val="6D28D9"/>
          <w:sz w:val="22"/>
          <w:szCs w:val="22"/>
        </w:rPr>
        <w:t xml:space="preserve">4.1  </w:t>
      </w:r>
      <w:r>
        <w:rPr>
          <w:rFonts w:ascii="Arial" w:cs="Arial" w:eastAsia="Arial" w:hAnsi="Arial"/>
          <w:color w:val="1F2937"/>
          <w:sz w:val="22"/>
          <w:szCs w:val="22"/>
        </w:rPr>
        <w:t xml:space="preserve">Use the chlorobenzene partial rate factors to predict the percentage of 2-, 3- and 4-chloronitrobenzene formed on nitration, and comment on the overall rate compared with benzene.</w:t>
      </w:r>
      <w:r>
        <w:rPr>
          <w:rFonts w:ascii="Arial" w:cs="Arial" w:eastAsia="Arial" w:hAnsi="Arial"/>
          <w:b/>
          <w:bCs/>
          <w:color w:val="D97706"/>
          <w:sz w:val="20"/>
          <w:szCs w:val="20"/>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val="false"/>
        <w:pBdr>
          <w:bottom w:val="single" w:color="A1A1AB" w:sz="4" w:space="1"/>
        </w:pBdr>
        <w:spacing w:after="0" w:before="0" w:line="420"/>
      </w:pPr>
      <w:r>
        <w:rPr>
          <w:rFonts w:ascii="Arial" w:cs="Arial" w:eastAsia="Arial" w:hAnsi="Arial"/>
          <w:color w:val="1F2937"/>
          <w:sz w:val="22"/>
          <w:szCs w:val="22"/>
        </w:rPr>
        <w:t xml:space="preserve"> </w:t>
      </w:r>
    </w:p>
    <w:p>
      <w:pPr>
        <w:spacing w:after="40" w:before="0" w:line="276"/>
      </w:pPr>
      <w:r>
        <w:rPr>
          <w:rFonts w:ascii="Arial" w:cs="Arial" w:eastAsia="Arial" w:hAnsi="Arial"/>
          <w:color w:val="1F2937"/>
          <w:sz w:val="22"/>
          <w:szCs w:val="22"/>
        </w:rPr>
        <w:t xml:space="preserve"> </w:t>
      </w:r>
    </w:p>
    <w:p>
      <w:pPr>
        <w:keepNext/>
        <w:spacing w:after="40" w:before="200"/>
      </w:pPr>
      <w:r>
        <w:rPr>
          <w:rFonts w:ascii="Arial" w:cs="Arial" w:eastAsia="Arial" w:hAnsi="Arial"/>
          <w:b/>
          <w:bCs/>
          <w:color w:val="6D28D9"/>
          <w:sz w:val="22"/>
          <w:szCs w:val="22"/>
        </w:rPr>
        <w:t xml:space="preserve">4.2  </w:t>
      </w:r>
      <w:r>
        <w:rPr>
          <w:rFonts w:ascii="Arial" w:cs="Arial" w:eastAsia="Arial" w:hAnsi="Arial"/>
          <w:color w:val="1F2937"/>
          <w:sz w:val="22"/>
          <w:szCs w:val="22"/>
        </w:rPr>
        <w:t xml:space="preserve">Draw the three resonance forms for attack of NO₂⁺ at the para position of nitrobenzene, and the three for attack at the meta position. Identify the form that makes para attack unfavourable.</w:t>
      </w:r>
      <w:r>
        <w:rPr>
          <w:rFonts w:ascii="Arial" w:cs="Arial" w:eastAsia="Arial" w:hAnsi="Arial"/>
          <w:b/>
          <w:bCs/>
          <w:color w:val="D97706"/>
          <w:sz w:val="20"/>
          <w:szCs w:val="20"/>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val="false"/>
        <w:pBdr>
          <w:bottom w:val="single" w:color="A1A1AB" w:sz="4" w:space="1"/>
        </w:pBdr>
        <w:spacing w:after="0" w:before="0" w:line="420"/>
      </w:pPr>
      <w:r>
        <w:rPr>
          <w:rFonts w:ascii="Arial" w:cs="Arial" w:eastAsia="Arial" w:hAnsi="Arial"/>
          <w:color w:val="1F2937"/>
          <w:sz w:val="22"/>
          <w:szCs w:val="22"/>
        </w:rPr>
        <w:t xml:space="preserve"> </w:t>
      </w:r>
    </w:p>
    <w:p>
      <w:pPr>
        <w:spacing w:after="40" w:before="0" w:line="276"/>
      </w:pPr>
      <w:r>
        <w:rPr>
          <w:rFonts w:ascii="Arial" w:cs="Arial" w:eastAsia="Arial" w:hAnsi="Arial"/>
          <w:color w:val="1F2937"/>
          <w:sz w:val="22"/>
          <w:szCs w:val="22"/>
        </w:rPr>
        <w:t xml:space="preserve"> </w:t>
      </w:r>
    </w:p>
    <w:p>
      <w:pPr>
        <w:keepNext/>
        <w:spacing w:after="40" w:before="200"/>
      </w:pPr>
      <w:r>
        <w:rPr>
          <w:rFonts w:ascii="Arial" w:cs="Arial" w:eastAsia="Arial" w:hAnsi="Arial"/>
          <w:b/>
          <w:bCs/>
          <w:color w:val="6D28D9"/>
          <w:sz w:val="22"/>
          <w:szCs w:val="22"/>
        </w:rPr>
        <w:t xml:space="preserve">4.3  </w:t>
      </w:r>
      <w:r>
        <w:rPr>
          <w:rFonts w:ascii="Arial" w:cs="Arial" w:eastAsia="Arial" w:hAnsi="Arial"/>
          <w:color w:val="1F2937"/>
          <w:sz w:val="22"/>
          <w:szCs w:val="22"/>
        </w:rPr>
        <w:t xml:space="preserve">4-Methylphenol is nitrated with dilute nitric acid. Predict the major product and explain your reasoning.</w:t>
      </w:r>
      <w:r>
        <w:rPr>
          <w:rFonts w:ascii="Arial" w:cs="Arial" w:eastAsia="Arial" w:hAnsi="Arial"/>
          <w:b/>
          <w:bCs/>
          <w:color w:val="D97706"/>
          <w:sz w:val="20"/>
          <w:szCs w:val="20"/>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val="false"/>
        <w:pBdr>
          <w:bottom w:val="single" w:color="A1A1AB" w:sz="4" w:space="1"/>
        </w:pBdr>
        <w:spacing w:after="0" w:before="0" w:line="420"/>
      </w:pPr>
      <w:r>
        <w:rPr>
          <w:rFonts w:ascii="Arial" w:cs="Arial" w:eastAsia="Arial" w:hAnsi="Arial"/>
          <w:color w:val="1F2937"/>
          <w:sz w:val="22"/>
          <w:szCs w:val="22"/>
        </w:rPr>
        <w:t xml:space="preserve"> </w:t>
      </w:r>
    </w:p>
    <w:p>
      <w:pPr>
        <w:spacing w:after="40" w:before="0" w:line="276"/>
      </w:pPr>
      <w:r>
        <w:rPr>
          <w:rFonts w:ascii="Arial" w:cs="Arial" w:eastAsia="Arial" w:hAnsi="Arial"/>
          <w:color w:val="1F2937"/>
          <w:sz w:val="22"/>
          <w:szCs w:val="22"/>
        </w:rPr>
        <w:t xml:space="preserve"> </w:t>
      </w:r>
    </w:p>
    <w:tbl>
      <w:tblPr>
        <w:tblW w:type="dxa" w:w="9640"/>
        <w:tblBorders>
          <w:top w:val="single" w:color="CBD5E1" w:sz="8"/>
          <w:left w:val="single" w:color="CBD5E1" w:sz="8"/>
          <w:bottom w:val="single" w:color="CBD5E1" w:sz="8"/>
          <w:right w:val="single" w:color="CBD5E1" w:sz="8"/>
          <w:insideH w:val="single" w:color="CBD5E1" w:sz="8"/>
          <w:insideV w:val="single" w:color="CBD5E1" w:sz="8"/>
        </w:tblBorders>
      </w:tblPr>
      <w:tblGrid>
        <w:gridCol w:w="9640"/>
      </w:tblGrid>
      <w:tr>
        <w:trPr>
          <w:cantSplit/>
        </w:trPr>
        <w:tc>
          <w:tcPr>
            <w:tcW w:type="dxa" w:w="9640"/>
            <w:shd w:fill="F8FAFC" w:color="auto" w:val="clear"/>
            <w:tcMar>
              <w:top w:type="dxa" w:w="100"/>
              <w:left w:type="dxa" w:w="160"/>
              <w:bottom w:type="dxa" w:w="100"/>
              <w:right w:type="dxa" w:w="160"/>
            </w:tcMar>
          </w:tcPr>
          <w:p>
            <w:pPr>
              <w:spacing w:after="40" w:before="0" w:line="276"/>
            </w:pPr>
            <w:r>
              <w:rPr>
                <w:rFonts w:ascii="Arial" w:cs="Arial" w:eastAsia="Arial" w:hAnsi="Arial"/>
                <w:b/>
                <w:bCs/>
                <w:color w:val="6D28D9"/>
                <w:sz w:val="20"/>
                <w:szCs w:val="20"/>
              </w:rPr>
              <w:t xml:space="preserve">Reading for this section</w:t>
            </w:r>
          </w:p>
          <w:p>
            <w:pPr>
              <w:spacing w:after="20" w:before="20" w:line="276"/>
              <w:ind w:left="200" w:hanging="200"/>
            </w:pPr>
            <w:r>
              <w:rPr>
                <w:rFonts w:ascii="Arial" w:cs="Arial" w:eastAsia="Arial" w:hAnsi="Arial"/>
                <w:b/>
                <w:bCs/>
                <w:color w:val="6D28D9"/>
                <w:sz w:val="19"/>
                <w:szCs w:val="19"/>
              </w:rPr>
              <w:t xml:space="preserve">▸ </w:t>
            </w:r>
            <w:r>
              <w:rPr>
                <w:rFonts w:ascii="Arial" w:cs="Arial" w:eastAsia="Arial" w:hAnsi="Arial"/>
                <w:color w:val="1F2937"/>
                <w:sz w:val="19"/>
                <w:szCs w:val="19"/>
              </w:rPr>
              <w:t xml:space="preserve">Clayden ch. 21, 'Electrophilic substitution on substituted benzenes'</w:t>
            </w:r>
            <w:r>
              <w:rPr>
                <w:rFonts w:ascii="Arial" w:cs="Arial" w:eastAsia="Arial" w:hAnsi="Arial"/>
                <w:i/>
                <w:iCs/>
                <w:color w:val="4B5563"/>
                <w:sz w:val="19"/>
                <w:szCs w:val="19"/>
              </w:rPr>
              <w:t xml:space="preserve">  —  resonance arguments for every class of substituent, with data</w:t>
            </w:r>
          </w:p>
          <w:p>
            <w:pPr>
              <w:spacing w:after="20" w:before="20" w:line="276"/>
              <w:ind w:left="200" w:hanging="200"/>
            </w:pPr>
            <w:r>
              <w:rPr>
                <w:rFonts w:ascii="Arial" w:cs="Arial" w:eastAsia="Arial" w:hAnsi="Arial"/>
                <w:b/>
                <w:bCs/>
                <w:color w:val="6D28D9"/>
                <w:sz w:val="19"/>
                <w:szCs w:val="19"/>
              </w:rPr>
              <w:t xml:space="preserve">▸ </w:t>
            </w:r>
            <w:r>
              <w:rPr>
                <w:rFonts w:ascii="Arial" w:cs="Arial" w:eastAsia="Arial" w:hAnsi="Arial"/>
                <w:color w:val="1F2937"/>
                <w:sz w:val="19"/>
                <w:szCs w:val="19"/>
              </w:rPr>
              <w:t xml:space="preserve">Chemguide, 'Directing effects'</w:t>
            </w:r>
            <w:r>
              <w:rPr>
                <w:rFonts w:ascii="Arial" w:cs="Arial" w:eastAsia="Arial" w:hAnsi="Arial"/>
                <w:i/>
                <w:iCs/>
                <w:color w:val="4B5563"/>
                <w:sz w:val="19"/>
                <w:szCs w:val="19"/>
              </w:rPr>
              <w:t xml:space="preserve">  —  an accessible bridge from the A-level rule to the resonance explanation</w:t>
            </w:r>
          </w:p>
        </w:tc>
      </w:tr>
    </w:tbl>
    <w:p>
      <w:pPr>
        <w:spacing w:after="40" w:before="0" w:line="276"/>
      </w:pPr>
      <w:r>
        <w:rPr>
          <w:rFonts w:ascii="Arial" w:cs="Arial" w:eastAsia="Arial" w:hAnsi="Arial"/>
          <w:color w:val="1F2937"/>
          <w:sz w:val="22"/>
          <w:szCs w:val="22"/>
        </w:rPr>
        <w:t xml:space="preserve"> </w:t>
      </w:r>
    </w:p>
    <w:p>
      <w:pPr>
        <w:pageBreakBefore/>
        <w:spacing w:after="0" w:before="0" w:line="20"/>
      </w:pPr>
      <w:r>
        <w:rPr>
          <w:sz w:val="2"/>
          <w:szCs w:val="2"/>
        </w:rPr>
        <w:t xml:space="preserve"/>
      </w:r>
    </w:p>
    <w:tbl>
      <w:tblPr>
        <w:tblW w:type="dxa" w:w="9640"/>
        <w:tblBorders>
          <w:top w:val="none" w:color="FFFFFF" w:sz="0"/>
          <w:left w:val="none" w:color="FFFFFF" w:sz="0"/>
          <w:bottom w:val="none" w:color="FFFFFF" w:sz="0"/>
          <w:right w:val="none" w:color="FFFFFF" w:sz="0"/>
          <w:insideH w:val="none" w:color="FFFFFF" w:sz="0"/>
          <w:insideV w:val="none" w:color="FFFFFF" w:sz="0"/>
        </w:tblBorders>
      </w:tblPr>
      <w:tblGrid>
        <w:gridCol w:w="9640"/>
      </w:tblGrid>
      <w:tr>
        <w:trPr>
          <w:cantSplit/>
        </w:trPr>
        <w:tc>
          <w:tcPr>
            <w:tcW w:type="dxa" w:w="9640"/>
            <w:shd w:fill="6D28D9" w:color="auto" w:val="clear"/>
            <w:tcMar>
              <w:top w:type="dxa" w:w="160"/>
              <w:left w:type="dxa" w:w="240"/>
              <w:bottom w:type="dxa" w:w="160"/>
              <w:right w:type="dxa" w:w="240"/>
            </w:tcMar>
          </w:tcPr>
          <w:p>
            <w:pPr>
              <w:tabs>
                <w:tab w:val="right" w:pos="9160"/>
              </w:tabs>
              <w:spacing w:after="0" w:before="0" w:line="276"/>
            </w:pPr>
            <w:r>
              <w:rPr>
                <w:rFonts w:ascii="Arial" w:cs="Arial" w:eastAsia="Arial" w:hAnsi="Arial"/>
                <w:b/>
                <w:bCs/>
                <w:color w:val="FFFFFF"/>
                <w:sz w:val="22"/>
                <w:szCs w:val="22"/>
              </w:rPr>
              <w:t xml:space="preserve">Section 5</w:t>
            </w:r>
            <w:r>
              <w:rPr>
                <w:rFonts w:ascii="Arial" w:cs="Arial" w:eastAsia="Arial" w:hAnsi="Arial"/>
                <w:b/>
                <w:bCs/>
                <w:color w:val="FFFFFF"/>
                <w:sz w:val="18"/>
                <w:szCs w:val="18"/>
              </w:rPr>
              <w:t xml:space="preserve">	PART A · FIRST-YEAR UNDERGRADUATE LEVEL</w:t>
            </w:r>
          </w:p>
          <w:p>
            <w:pPr>
              <w:spacing w:after="40" w:before="40" w:line="276"/>
            </w:pPr>
            <w:r>
              <w:rPr>
                <w:rFonts w:ascii="Arial" w:cs="Arial" w:eastAsia="Arial" w:hAnsi="Arial"/>
                <w:b/>
                <w:bCs/>
                <w:color w:val="FFFFFF"/>
                <w:sz w:val="32"/>
                <w:szCs w:val="32"/>
              </w:rPr>
              <w:t xml:space="preserve">Friedel–Crafts — the fine print</w:t>
            </w:r>
          </w:p>
          <w:p>
            <w:pPr>
              <w:spacing w:after="0" w:before="0" w:line="276"/>
            </w:pPr>
            <w:r>
              <w:rPr>
                <w:rFonts w:ascii="Arial" w:cs="Arial" w:eastAsia="Arial" w:hAnsi="Arial"/>
                <w:i/>
                <w:iCs/>
                <w:color w:val="F5F3FF"/>
                <w:sz w:val="21"/>
                <w:szCs w:val="21"/>
              </w:rPr>
              <w:t xml:space="preserve">Alkylation and acylation look identical at A-level. In practice, alkylation is one of the least reliable reactions in organic synthesis and acylation one of the most reliable. Here is why.</w:t>
            </w:r>
          </w:p>
        </w:tc>
      </w:tr>
    </w:tbl>
    <w:p>
      <w:pPr>
        <w:spacing w:after="40" w:before="0" w:line="276"/>
      </w:pPr>
      <w:r>
        <w:rPr>
          <w:rFonts w:ascii="Arial" w:cs="Arial" w:eastAsia="Arial" w:hAnsi="Arial"/>
          <w:color w:val="1F2937"/>
          <w:sz w:val="22"/>
          <w:szCs w:val="22"/>
        </w:rPr>
        <w:t xml:space="preserve"> </w:t>
      </w:r>
    </w:p>
    <w:p>
      <w:pPr>
        <w:spacing w:after="80" w:before="80"/>
        <w:jc w:val="center"/>
      </w:pPr>
      <w:r>
        <w:drawing>
          <wp:inline distT="0" distB="0" distL="0" distR="0">
            <wp:extent cx="5486400" cy="18002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 cstate="none"/>
                    <a:srcRect/>
                    <a:stretch>
                      <a:fillRect/>
                    </a:stretch>
                  </pic:blipFill>
                  <pic:spPr bwMode="auto">
                    <a:xfrm>
                      <a:off x="0" y="0"/>
                      <a:ext cx="5486400" cy="1800225"/>
                    </a:xfrm>
                    <a:prstGeom prst="rect">
                      <a:avLst/>
                    </a:prstGeom>
                  </pic:spPr>
                </pic:pic>
              </a:graphicData>
            </a:graphic>
          </wp:inline>
        </w:drawing>
      </w:r>
    </w:p>
    <w:p>
      <w:pPr>
        <w:spacing w:after="100" w:before="0" w:line="276"/>
        <w:jc w:val="center"/>
      </w:pPr>
      <w:r>
        <w:rPr>
          <w:rFonts w:ascii="Arial" w:cs="Arial" w:eastAsia="Arial" w:hAnsi="Arial"/>
          <w:i/>
          <w:iCs/>
          <w:color w:val="6B7280"/>
          <w:sz w:val="18"/>
          <w:szCs w:val="18"/>
        </w:rPr>
        <w:t xml:space="preserve">Carbocation rearrangement: a primary cation undergoes a 1,2-hydride shift before it attacks the ring.</w:t>
      </w:r>
    </w:p>
    <w:tbl>
      <w:tblPr>
        <w:tblW w:type="dxa" w:w="9640"/>
        <w:tblBorders>
          <w:top w:val="single" w:color="14B8A6" w:sz="8"/>
          <w:left w:val="single" w:color="14B8A6" w:sz="8"/>
          <w:bottom w:val="single" w:color="14B8A6" w:sz="8"/>
          <w:right w:val="single" w:color="14B8A6" w:sz="8"/>
          <w:insideH w:val="single" w:color="14B8A6" w:sz="8"/>
          <w:insideV w:val="single" w:color="14B8A6" w:sz="8"/>
        </w:tblBorders>
      </w:tblPr>
      <w:tblGrid>
        <w:gridCol w:w="9640"/>
      </w:tblGrid>
      <w:tr>
        <w:trPr>
          <w:cantSplit/>
        </w:trPr>
        <w:tc>
          <w:tcPr>
            <w:tcW w:type="dxa" w:w="9640"/>
            <w:shd w:fill="CCFBF1" w:color="auto" w:val="clear"/>
            <w:tcMar>
              <w:top w:type="dxa" w:w="100"/>
              <w:left w:type="dxa" w:w="160"/>
              <w:bottom w:type="dxa" w:w="100"/>
              <w:right w:type="dxa" w:w="160"/>
            </w:tcMar>
          </w:tcPr>
          <w:p>
            <w:pPr>
              <w:spacing w:after="40" w:before="0" w:line="276"/>
            </w:pPr>
            <w:r>
              <w:rPr>
                <w:rFonts w:ascii="Arial" w:cs="Arial" w:eastAsia="Arial" w:hAnsi="Arial"/>
                <w:b/>
                <w:bCs/>
                <w:color w:val="0F766E"/>
                <w:sz w:val="22"/>
                <w:szCs w:val="22"/>
              </w:rPr>
              <w:t xml:space="preserve">Key facts</w:t>
            </w:r>
          </w:p>
          <w:p>
            <w:pPr>
              <w:spacing w:after="20" w:before="20" w:line="276"/>
            </w:pPr>
            <w:r>
              <w:rPr>
                <w:rFonts w:ascii="Arial" w:cs="Arial" w:eastAsia="Arial" w:hAnsi="Arial"/>
                <w:color w:val="1F2937"/>
                <w:sz w:val="21"/>
                <w:szCs w:val="21"/>
              </w:rPr>
              <w:t xml:space="preserve">•  Rearrangement: primary carbocations rearrange to secondary/tertiary by hydride or methyl shifts. Benzene + 1-chloropropane gives mostly (1-methylethyl)benzene; benzene + 1-chloro-2-methylpropane gives tert-butylbenzene.</w:t>
            </w:r>
          </w:p>
          <w:p>
            <w:pPr>
              <w:spacing w:after="20" w:before="20" w:line="276"/>
            </w:pPr>
            <w:r>
              <w:rPr>
                <w:rFonts w:ascii="Arial" w:cs="Arial" w:eastAsia="Arial" w:hAnsi="Arial"/>
                <w:color w:val="1F2937"/>
                <w:sz w:val="21"/>
                <w:szCs w:val="21"/>
              </w:rPr>
              <w:t xml:space="preserve">•  Polyalkylation: an alkyl group activates the ring, so the product competes for the electrophile — you get mixtures unless benzene is in large excess.</w:t>
            </w:r>
          </w:p>
          <w:p>
            <w:pPr>
              <w:spacing w:after="20" w:before="20" w:line="276"/>
            </w:pPr>
            <w:r>
              <w:rPr>
                <w:rFonts w:ascii="Arial" w:cs="Arial" w:eastAsia="Arial" w:hAnsi="Arial"/>
                <w:color w:val="1F2937"/>
                <w:sz w:val="21"/>
                <w:szCs w:val="21"/>
              </w:rPr>
              <w:t xml:space="preserve">•  Deactivated rings (–NO₂, –CN, –C=O, –SO₃H) do not undergo Friedel–Crafts reactions at all. –NH₂ and –OH complex with AlCl₃ and poison the catalyst.</w:t>
            </w:r>
          </w:p>
          <w:p>
            <w:pPr>
              <w:spacing w:after="20" w:before="20" w:line="276"/>
            </w:pPr>
            <w:r>
              <w:rPr>
                <w:rFonts w:ascii="Arial" w:cs="Arial" w:eastAsia="Arial" w:hAnsi="Arial"/>
                <w:color w:val="1F2937"/>
                <w:sz w:val="21"/>
                <w:szCs w:val="21"/>
              </w:rPr>
              <w:t xml:space="preserve">•  Acylation avoids all of this: the acylium ion (R–C≡O⁺ ↔ R–C⁺=O) is resonance-stabilised and does not rearrange; the ketone product is deactivated so the reaction stops after one substitution. Reducing the C=O to CH₂ (Clemmensen: Zn/Hg, HCl; Wolff–Kishner: N₂H₄, KOH, heat) gives clean, unrearranged alkylbenzenes.</w:t>
            </w:r>
          </w:p>
        </w:tc>
      </w:tr>
    </w:tbl>
    <w:p>
      <w:pPr>
        <w:keepNext/>
        <w:spacing w:after="40" w:before="200"/>
      </w:pPr>
      <w:r>
        <w:rPr>
          <w:rFonts w:ascii="Arial" w:cs="Arial" w:eastAsia="Arial" w:hAnsi="Arial"/>
          <w:b/>
          <w:bCs/>
          <w:color w:val="6D28D9"/>
          <w:sz w:val="22"/>
          <w:szCs w:val="22"/>
        </w:rPr>
        <w:t xml:space="preserve">5.1  </w:t>
      </w:r>
      <w:r>
        <w:rPr>
          <w:rFonts w:ascii="Arial" w:cs="Arial" w:eastAsia="Arial" w:hAnsi="Arial"/>
          <w:color w:val="1F2937"/>
          <w:sz w:val="22"/>
          <w:szCs w:val="22"/>
        </w:rPr>
        <w:t xml:space="preserve">Suggest a two-step synthesis of butylbenzene, C₆H₅CH₂CH₂CH₂CH₃, from benzene and explain why direct alkylation with 1-chlorobutane is a poor choice.</w:t>
      </w:r>
      <w:r>
        <w:rPr>
          <w:rFonts w:ascii="Arial" w:cs="Arial" w:eastAsia="Arial" w:hAnsi="Arial"/>
          <w:b/>
          <w:bCs/>
          <w:color w:val="D97706"/>
          <w:sz w:val="20"/>
          <w:szCs w:val="20"/>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val="false"/>
        <w:pBdr>
          <w:bottom w:val="single" w:color="A1A1AB" w:sz="4" w:space="1"/>
        </w:pBdr>
        <w:spacing w:after="0" w:before="0" w:line="420"/>
      </w:pPr>
      <w:r>
        <w:rPr>
          <w:rFonts w:ascii="Arial" w:cs="Arial" w:eastAsia="Arial" w:hAnsi="Arial"/>
          <w:color w:val="1F2937"/>
          <w:sz w:val="22"/>
          <w:szCs w:val="22"/>
        </w:rPr>
        <w:t xml:space="preserve"> </w:t>
      </w:r>
    </w:p>
    <w:p>
      <w:pPr>
        <w:spacing w:after="40" w:before="0" w:line="276"/>
      </w:pPr>
      <w:r>
        <w:rPr>
          <w:rFonts w:ascii="Arial" w:cs="Arial" w:eastAsia="Arial" w:hAnsi="Arial"/>
          <w:color w:val="1F2937"/>
          <w:sz w:val="22"/>
          <w:szCs w:val="22"/>
        </w:rPr>
        <w:t xml:space="preserve"> </w:t>
      </w:r>
    </w:p>
    <w:p>
      <w:pPr>
        <w:keepNext/>
        <w:spacing w:after="40" w:before="200"/>
      </w:pPr>
      <w:r>
        <w:rPr>
          <w:rFonts w:ascii="Arial" w:cs="Arial" w:eastAsia="Arial" w:hAnsi="Arial"/>
          <w:b/>
          <w:bCs/>
          <w:color w:val="6D28D9"/>
          <w:sz w:val="22"/>
          <w:szCs w:val="22"/>
        </w:rPr>
        <w:t xml:space="preserve">5.2  </w:t>
      </w:r>
      <w:r>
        <w:rPr>
          <w:rFonts w:ascii="Arial" w:cs="Arial" w:eastAsia="Arial" w:hAnsi="Arial"/>
          <w:color w:val="1F2937"/>
          <w:sz w:val="22"/>
          <w:szCs w:val="22"/>
        </w:rPr>
        <w:t xml:space="preserve">Draw the two resonance forms of the ethanoyl (acylium) cation and explain why it does not rearrange.</w:t>
      </w:r>
      <w:r>
        <w:rPr>
          <w:rFonts w:ascii="Arial" w:cs="Arial" w:eastAsia="Arial" w:hAnsi="Arial"/>
          <w:b/>
          <w:bCs/>
          <w:color w:val="D97706"/>
          <w:sz w:val="20"/>
          <w:szCs w:val="20"/>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val="false"/>
        <w:pBdr>
          <w:bottom w:val="single" w:color="A1A1AB" w:sz="4" w:space="1"/>
        </w:pBdr>
        <w:spacing w:after="0" w:before="0" w:line="420"/>
      </w:pPr>
      <w:r>
        <w:rPr>
          <w:rFonts w:ascii="Arial" w:cs="Arial" w:eastAsia="Arial" w:hAnsi="Arial"/>
          <w:color w:val="1F2937"/>
          <w:sz w:val="22"/>
          <w:szCs w:val="22"/>
        </w:rPr>
        <w:t xml:space="preserve"> </w:t>
      </w:r>
    </w:p>
    <w:p>
      <w:pPr>
        <w:spacing w:after="40" w:before="0" w:line="276"/>
      </w:pPr>
      <w:r>
        <w:rPr>
          <w:rFonts w:ascii="Arial" w:cs="Arial" w:eastAsia="Arial" w:hAnsi="Arial"/>
          <w:color w:val="1F2937"/>
          <w:sz w:val="22"/>
          <w:szCs w:val="22"/>
        </w:rPr>
        <w:t xml:space="preserve"> </w:t>
      </w:r>
    </w:p>
    <w:p>
      <w:pPr>
        <w:keepNext/>
        <w:spacing w:after="40" w:before="200"/>
      </w:pPr>
      <w:r>
        <w:rPr>
          <w:rFonts w:ascii="Arial" w:cs="Arial" w:eastAsia="Arial" w:hAnsi="Arial"/>
          <w:b/>
          <w:bCs/>
          <w:color w:val="6D28D9"/>
          <w:sz w:val="22"/>
          <w:szCs w:val="22"/>
        </w:rPr>
        <w:t xml:space="preserve">5.3  </w:t>
      </w:r>
      <w:r>
        <w:rPr>
          <w:rFonts w:ascii="Arial" w:cs="Arial" w:eastAsia="Arial" w:hAnsi="Arial"/>
          <w:color w:val="1F2937"/>
          <w:sz w:val="22"/>
          <w:szCs w:val="22"/>
        </w:rPr>
        <w:t xml:space="preserve">Explain why nitrobenzene is a good SOLVENT for Friedel–Crafts acylations but methoxybenzene is not.</w:t>
      </w:r>
      <w:r>
        <w:rPr>
          <w:rFonts w:ascii="Arial" w:cs="Arial" w:eastAsia="Arial" w:hAnsi="Arial"/>
          <w:b/>
          <w:bCs/>
          <w:color w:val="D97706"/>
          <w:sz w:val="20"/>
          <w:szCs w:val="20"/>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val="false"/>
        <w:pBdr>
          <w:bottom w:val="single" w:color="A1A1AB" w:sz="4" w:space="1"/>
        </w:pBdr>
        <w:spacing w:after="0" w:before="0" w:line="420"/>
      </w:pPr>
      <w:r>
        <w:rPr>
          <w:rFonts w:ascii="Arial" w:cs="Arial" w:eastAsia="Arial" w:hAnsi="Arial"/>
          <w:color w:val="1F2937"/>
          <w:sz w:val="22"/>
          <w:szCs w:val="22"/>
        </w:rPr>
        <w:t xml:space="preserve"> </w:t>
      </w:r>
    </w:p>
    <w:p>
      <w:pPr>
        <w:spacing w:after="40" w:before="0" w:line="276"/>
      </w:pPr>
      <w:r>
        <w:rPr>
          <w:rFonts w:ascii="Arial" w:cs="Arial" w:eastAsia="Arial" w:hAnsi="Arial"/>
          <w:color w:val="1F2937"/>
          <w:sz w:val="22"/>
          <w:szCs w:val="22"/>
        </w:rPr>
        <w:t xml:space="preserve"> </w:t>
      </w:r>
    </w:p>
    <w:tbl>
      <w:tblPr>
        <w:tblW w:type="dxa" w:w="9640"/>
        <w:tblBorders>
          <w:top w:val="single" w:color="CBD5E1" w:sz="8"/>
          <w:left w:val="single" w:color="CBD5E1" w:sz="8"/>
          <w:bottom w:val="single" w:color="CBD5E1" w:sz="8"/>
          <w:right w:val="single" w:color="CBD5E1" w:sz="8"/>
          <w:insideH w:val="single" w:color="CBD5E1" w:sz="8"/>
          <w:insideV w:val="single" w:color="CBD5E1" w:sz="8"/>
        </w:tblBorders>
      </w:tblPr>
      <w:tblGrid>
        <w:gridCol w:w="9640"/>
      </w:tblGrid>
      <w:tr>
        <w:trPr>
          <w:cantSplit/>
        </w:trPr>
        <w:tc>
          <w:tcPr>
            <w:tcW w:type="dxa" w:w="9640"/>
            <w:shd w:fill="F8FAFC" w:color="auto" w:val="clear"/>
            <w:tcMar>
              <w:top w:type="dxa" w:w="100"/>
              <w:left w:type="dxa" w:w="160"/>
              <w:bottom w:type="dxa" w:w="100"/>
              <w:right w:type="dxa" w:w="160"/>
            </w:tcMar>
          </w:tcPr>
          <w:p>
            <w:pPr>
              <w:spacing w:after="40" w:before="0" w:line="276"/>
            </w:pPr>
            <w:r>
              <w:rPr>
                <w:rFonts w:ascii="Arial" w:cs="Arial" w:eastAsia="Arial" w:hAnsi="Arial"/>
                <w:b/>
                <w:bCs/>
                <w:color w:val="6D28D9"/>
                <w:sz w:val="20"/>
                <w:szCs w:val="20"/>
              </w:rPr>
              <w:t xml:space="preserve">Reading for this section</w:t>
            </w:r>
          </w:p>
          <w:p>
            <w:pPr>
              <w:spacing w:after="20" w:before="20" w:line="276"/>
              <w:ind w:left="200" w:hanging="200"/>
            </w:pPr>
            <w:r>
              <w:rPr>
                <w:rFonts w:ascii="Arial" w:cs="Arial" w:eastAsia="Arial" w:hAnsi="Arial"/>
                <w:b/>
                <w:bCs/>
                <w:color w:val="6D28D9"/>
                <w:sz w:val="19"/>
                <w:szCs w:val="19"/>
              </w:rPr>
              <w:t xml:space="preserve">▸ </w:t>
            </w:r>
            <w:r>
              <w:rPr>
                <w:rFonts w:ascii="Arial" w:cs="Arial" w:eastAsia="Arial" w:hAnsi="Arial"/>
                <w:color w:val="1F2937"/>
                <w:sz w:val="19"/>
                <w:szCs w:val="19"/>
              </w:rPr>
              <w:t xml:space="preserve">Clayden ch. 21, 'Friedel–Crafts alkylation and acylation'</w:t>
            </w:r>
            <w:r>
              <w:rPr>
                <w:rFonts w:ascii="Arial" w:cs="Arial" w:eastAsia="Arial" w:hAnsi="Arial"/>
                <w:i/>
                <w:iCs/>
                <w:color w:val="4B5563"/>
                <w:sz w:val="19"/>
                <w:szCs w:val="19"/>
              </w:rPr>
              <w:t xml:space="preserve">  —  why chemists acylate then reduce</w:t>
            </w:r>
          </w:p>
          <w:p>
            <w:pPr>
              <w:spacing w:after="20" w:before="20" w:line="276"/>
              <w:ind w:left="200" w:hanging="200"/>
            </w:pPr>
            <w:r>
              <w:rPr>
                <w:rFonts w:ascii="Arial" w:cs="Arial" w:eastAsia="Arial" w:hAnsi="Arial"/>
                <w:b/>
                <w:bCs/>
                <w:color w:val="6D28D9"/>
                <w:sz w:val="19"/>
                <w:szCs w:val="19"/>
              </w:rPr>
              <w:t xml:space="preserve">▸ </w:t>
            </w:r>
            <w:r>
              <w:rPr>
                <w:rFonts w:ascii="Arial" w:cs="Arial" w:eastAsia="Arial" w:hAnsi="Arial"/>
                <w:color w:val="1F2937"/>
                <w:sz w:val="19"/>
                <w:szCs w:val="19"/>
              </w:rPr>
              <w:t xml:space="preserve">G. A. Olah, Friedel–Crafts Chemistry (Wiley, 1973) — introduction</w:t>
            </w:r>
            <w:r>
              <w:rPr>
                <w:rFonts w:ascii="Arial" w:cs="Arial" w:eastAsia="Arial" w:hAnsi="Arial"/>
                <w:i/>
                <w:iCs/>
                <w:color w:val="4B5563"/>
                <w:sz w:val="19"/>
                <w:szCs w:val="19"/>
              </w:rPr>
              <w:t xml:space="preserve">  —  the definitive monograph; skim the historical introduction</w:t>
            </w:r>
          </w:p>
        </w:tc>
      </w:tr>
    </w:tbl>
    <w:p>
      <w:pPr>
        <w:spacing w:after="40" w:before="0" w:line="276"/>
      </w:pPr>
      <w:r>
        <w:rPr>
          <w:rFonts w:ascii="Arial" w:cs="Arial" w:eastAsia="Arial" w:hAnsi="Arial"/>
          <w:color w:val="1F2937"/>
          <w:sz w:val="22"/>
          <w:szCs w:val="22"/>
        </w:rPr>
        <w:t xml:space="preserve"> </w:t>
      </w:r>
    </w:p>
    <w:p>
      <w:pPr>
        <w:pageBreakBefore/>
        <w:spacing w:after="0" w:before="0" w:line="20"/>
      </w:pPr>
      <w:r>
        <w:rPr>
          <w:sz w:val="2"/>
          <w:szCs w:val="2"/>
        </w:rPr>
        <w:t xml:space="preserve"/>
      </w:r>
    </w:p>
    <w:tbl>
      <w:tblPr>
        <w:tblW w:type="dxa" w:w="9640"/>
        <w:tblBorders>
          <w:top w:val="none" w:color="FFFFFF" w:sz="0"/>
          <w:left w:val="none" w:color="FFFFFF" w:sz="0"/>
          <w:bottom w:val="none" w:color="FFFFFF" w:sz="0"/>
          <w:right w:val="none" w:color="FFFFFF" w:sz="0"/>
          <w:insideH w:val="none" w:color="FFFFFF" w:sz="0"/>
          <w:insideV w:val="none" w:color="FFFFFF" w:sz="0"/>
        </w:tblBorders>
      </w:tblPr>
      <w:tblGrid>
        <w:gridCol w:w="9640"/>
      </w:tblGrid>
      <w:tr>
        <w:trPr>
          <w:cantSplit/>
        </w:trPr>
        <w:tc>
          <w:tcPr>
            <w:tcW w:type="dxa" w:w="9640"/>
            <w:shd w:fill="6D28D9" w:color="auto" w:val="clear"/>
            <w:tcMar>
              <w:top w:type="dxa" w:w="160"/>
              <w:left w:type="dxa" w:w="240"/>
              <w:bottom w:type="dxa" w:w="160"/>
              <w:right w:type="dxa" w:w="240"/>
            </w:tcMar>
          </w:tcPr>
          <w:p>
            <w:pPr>
              <w:tabs>
                <w:tab w:val="right" w:pos="9160"/>
              </w:tabs>
              <w:spacing w:after="0" w:before="0" w:line="276"/>
            </w:pPr>
            <w:r>
              <w:rPr>
                <w:rFonts w:ascii="Arial" w:cs="Arial" w:eastAsia="Arial" w:hAnsi="Arial"/>
                <w:b/>
                <w:bCs/>
                <w:color w:val="FFFFFF"/>
                <w:sz w:val="22"/>
                <w:szCs w:val="22"/>
              </w:rPr>
              <w:t xml:space="preserve">Section 6</w:t>
            </w:r>
            <w:r>
              <w:rPr>
                <w:rFonts w:ascii="Arial" w:cs="Arial" w:eastAsia="Arial" w:hAnsi="Arial"/>
                <w:b/>
                <w:bCs/>
                <w:color w:val="FFFFFF"/>
                <w:sz w:val="18"/>
                <w:szCs w:val="18"/>
              </w:rPr>
              <w:t xml:space="preserve">	PART A · FIRST-YEAR UNDERGRADUATE LEVEL</w:t>
            </w:r>
          </w:p>
          <w:p>
            <w:pPr>
              <w:spacing w:after="40" w:before="40" w:line="276"/>
            </w:pPr>
            <w:r>
              <w:rPr>
                <w:rFonts w:ascii="Arial" w:cs="Arial" w:eastAsia="Arial" w:hAnsi="Arial"/>
                <w:b/>
                <w:bCs/>
                <w:color w:val="FFFFFF"/>
                <w:sz w:val="32"/>
                <w:szCs w:val="32"/>
              </w:rPr>
              <w:t xml:space="preserve">Phenol: acidity, the Kolbe–Schmitt reaction and aspirin</w:t>
            </w:r>
          </w:p>
          <w:p>
            <w:pPr>
              <w:spacing w:after="0" w:before="0" w:line="276"/>
            </w:pPr>
            <w:r>
              <w:rPr>
                <w:rFonts w:ascii="Arial" w:cs="Arial" w:eastAsia="Arial" w:hAnsi="Arial"/>
                <w:i/>
                <w:iCs/>
                <w:color w:val="F5F3FF"/>
                <w:sz w:val="21"/>
                <w:szCs w:val="21"/>
              </w:rPr>
              <w:t xml:space="preserve">Why is phenol an acid at all, why does a nitro group make it stronger, and how does phenol become aspirin?</w:t>
            </w:r>
          </w:p>
        </w:tc>
      </w:tr>
    </w:tbl>
    <w:p>
      <w:pPr>
        <w:spacing w:after="40" w:before="0" w:line="276"/>
      </w:pPr>
      <w:r>
        <w:rPr>
          <w:rFonts w:ascii="Arial" w:cs="Arial" w:eastAsia="Arial" w:hAnsi="Arial"/>
          <w:color w:val="1F2937"/>
          <w:sz w:val="22"/>
          <w:szCs w:val="22"/>
        </w:rPr>
        <w:t xml:space="preserve"> </w:t>
      </w:r>
    </w:p>
    <w:p>
      <w:pPr>
        <w:spacing w:after="80" w:before="80"/>
        <w:jc w:val="center"/>
      </w:pPr>
      <w:r>
        <w:drawing>
          <wp:inline distT="0" distB="0" distL="0" distR="0">
            <wp:extent cx="5124450" cy="27527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 cstate="none"/>
                    <a:srcRect/>
                    <a:stretch>
                      <a:fillRect/>
                    </a:stretch>
                  </pic:blipFill>
                  <pic:spPr bwMode="auto">
                    <a:xfrm>
                      <a:off x="0" y="0"/>
                      <a:ext cx="5124450" cy="2752725"/>
                    </a:xfrm>
                    <a:prstGeom prst="rect">
                      <a:avLst/>
                    </a:prstGeom>
                  </pic:spPr>
                </pic:pic>
              </a:graphicData>
            </a:graphic>
          </wp:inline>
        </w:drawing>
      </w:r>
    </w:p>
    <w:p>
      <w:pPr>
        <w:spacing w:after="100" w:before="0" w:line="276"/>
        <w:jc w:val="center"/>
      </w:pPr>
      <w:r>
        <w:rPr>
          <w:rFonts w:ascii="Arial" w:cs="Arial" w:eastAsia="Arial" w:hAnsi="Arial"/>
          <w:i/>
          <w:iCs/>
          <w:color w:val="6B7280"/>
          <w:sz w:val="18"/>
          <w:szCs w:val="18"/>
        </w:rPr>
        <w:t xml:space="preserve">The phenoxide ion: the negative charge is delocalised onto the ring carbons (C2, C4 and C6).</w:t>
      </w:r>
    </w:p>
    <w:tbl>
      <w:tblPr>
        <w:tblW w:type="dxa" w:w="9640"/>
        <w:tblBorders>
          <w:top w:val="single" w:color="CBD5E1" w:sz="6"/>
          <w:left w:val="single" w:color="CBD5E1" w:sz="6"/>
          <w:bottom w:val="single" w:color="CBD5E1" w:sz="6"/>
          <w:right w:val="single" w:color="CBD5E1" w:sz="6"/>
          <w:insideH w:val="single" w:color="CBD5E1" w:sz="6"/>
          <w:insideV w:val="single" w:color="CBD5E1" w:sz="6"/>
        </w:tblBorders>
      </w:tblPr>
      <w:tblGrid>
        <w:gridCol w:w="3044"/>
        <w:gridCol w:w="1015"/>
        <w:gridCol w:w="5581"/>
      </w:tblGrid>
      <w:tr>
        <w:trPr>
          <w:tblHeader/>
        </w:trPr>
        <w:tc>
          <w:tcPr>
            <w:tcW w:type="dxa" w:w="3044"/>
            <w:shd w:fill="6D28D9" w:color="auto" w:val="clear"/>
            <w:tcMar>
              <w:top w:type="dxa" w:w="60"/>
              <w:left w:type="dxa" w:w="100"/>
              <w:bottom w:type="dxa" w:w="60"/>
              <w:right w:type="dxa" w:w="100"/>
            </w:tcMar>
            <w:vAlign w:val="center"/>
          </w:tcPr>
          <w:p>
            <w:pPr>
              <w:spacing w:after="0" w:before="0" w:line="276"/>
            </w:pPr>
            <w:r>
              <w:rPr>
                <w:rFonts w:ascii="Arial" w:cs="Arial" w:eastAsia="Arial" w:hAnsi="Arial"/>
                <w:b/>
                <w:bCs/>
                <w:color w:val="FFFFFF"/>
                <w:sz w:val="20"/>
                <w:szCs w:val="20"/>
              </w:rPr>
              <w:t xml:space="preserve">Compound</w:t>
            </w:r>
          </w:p>
        </w:tc>
        <w:tc>
          <w:tcPr>
            <w:tcW w:type="dxa" w:w="1015"/>
            <w:shd w:fill="6D28D9" w:color="auto" w:val="clear"/>
            <w:tcMar>
              <w:top w:type="dxa" w:w="60"/>
              <w:left w:type="dxa" w:w="100"/>
              <w:bottom w:type="dxa" w:w="60"/>
              <w:right w:type="dxa" w:w="100"/>
            </w:tcMar>
            <w:vAlign w:val="center"/>
          </w:tcPr>
          <w:p>
            <w:pPr>
              <w:spacing w:after="0" w:before="0" w:line="276"/>
            </w:pPr>
            <w:r>
              <w:rPr>
                <w:rFonts w:ascii="Arial" w:cs="Arial" w:eastAsia="Arial" w:hAnsi="Arial"/>
                <w:b/>
                <w:bCs/>
                <w:color w:val="FFFFFF"/>
                <w:sz w:val="20"/>
                <w:szCs w:val="20"/>
              </w:rPr>
              <w:t xml:space="preserve">pKₐ</w:t>
            </w:r>
          </w:p>
        </w:tc>
        <w:tc>
          <w:tcPr>
            <w:tcW w:type="dxa" w:w="5581"/>
            <w:shd w:fill="6D28D9" w:color="auto" w:val="clear"/>
            <w:tcMar>
              <w:top w:type="dxa" w:w="60"/>
              <w:left w:type="dxa" w:w="100"/>
              <w:bottom w:type="dxa" w:w="60"/>
              <w:right w:type="dxa" w:w="100"/>
            </w:tcMar>
            <w:vAlign w:val="center"/>
          </w:tcPr>
          <w:p>
            <w:pPr>
              <w:spacing w:after="0" w:before="0" w:line="276"/>
            </w:pPr>
            <w:r>
              <w:rPr>
                <w:rFonts w:ascii="Arial" w:cs="Arial" w:eastAsia="Arial" w:hAnsi="Arial"/>
                <w:b/>
                <w:bCs/>
                <w:color w:val="FFFFFF"/>
                <w:sz w:val="20"/>
                <w:szCs w:val="20"/>
              </w:rPr>
              <w:t xml:space="preserve">Reason</w:t>
            </w:r>
          </w:p>
        </w:tc>
      </w:tr>
      <w:tr>
        <w:tc>
          <w:tcPr>
            <w:tcW w:type="dxa" w:w="3044"/>
            <w:shd w:fill="F1F5F9" w:color="auto" w:val="clear"/>
            <w:tcMar>
              <w:top w:type="dxa" w:w="60"/>
              <w:left w:type="dxa" w:w="100"/>
              <w:bottom w:type="dxa" w:w="60"/>
              <w:right w:type="dxa" w:w="100"/>
            </w:tcMar>
            <w:vAlign w:val="center"/>
          </w:tcPr>
          <w:p>
            <w:pPr>
              <w:spacing w:after="0" w:before="0" w:line="276"/>
            </w:pPr>
            <w:r>
              <w:rPr>
                <w:rFonts w:ascii="Arial" w:cs="Arial" w:eastAsia="Arial" w:hAnsi="Arial"/>
                <w:b/>
                <w:bCs/>
                <w:color w:val="1F2937"/>
                <w:sz w:val="20"/>
                <w:szCs w:val="20"/>
              </w:rPr>
              <w:t xml:space="preserve">ethanol</w:t>
            </w:r>
          </w:p>
        </w:tc>
        <w:tc>
          <w:tcPr>
            <w:tcW w:type="dxa" w:w="1015"/>
            <w:shd w:fill="FFFFFF" w:color="auto" w:val="clear"/>
            <w:tcMar>
              <w:top w:type="dxa" w:w="60"/>
              <w:left w:type="dxa" w:w="100"/>
              <w:bottom w:type="dxa" w:w="60"/>
              <w:right w:type="dxa" w:w="100"/>
            </w:tcMar>
            <w:vAlign w:val="center"/>
          </w:tcPr>
          <w:p>
            <w:pPr>
              <w:spacing w:after="0" w:before="0" w:line="276"/>
            </w:pPr>
            <w:r>
              <w:rPr>
                <w:rFonts w:ascii="Arial" w:cs="Arial" w:eastAsia="Arial" w:hAnsi="Arial"/>
                <w:b w:val="false"/>
                <w:bCs w:val="false"/>
                <w:color w:val="1F2937"/>
                <w:sz w:val="20"/>
                <w:szCs w:val="20"/>
              </w:rPr>
              <w:t xml:space="preserve">≈ 16</w:t>
            </w:r>
          </w:p>
        </w:tc>
        <w:tc>
          <w:tcPr>
            <w:tcW w:type="dxa" w:w="5581"/>
            <w:shd w:fill="FFFFFF" w:color="auto" w:val="clear"/>
            <w:tcMar>
              <w:top w:type="dxa" w:w="60"/>
              <w:left w:type="dxa" w:w="100"/>
              <w:bottom w:type="dxa" w:w="60"/>
              <w:right w:type="dxa" w:w="100"/>
            </w:tcMar>
            <w:vAlign w:val="center"/>
          </w:tcPr>
          <w:p>
            <w:pPr>
              <w:spacing w:after="0" w:before="0" w:line="276"/>
            </w:pPr>
            <w:r>
              <w:rPr>
                <w:rFonts w:ascii="Arial" w:cs="Arial" w:eastAsia="Arial" w:hAnsi="Arial"/>
                <w:b w:val="false"/>
                <w:bCs w:val="false"/>
                <w:color w:val="1F2937"/>
                <w:sz w:val="20"/>
                <w:szCs w:val="20"/>
              </w:rPr>
              <w:t xml:space="preserve">no delocalisation of the negative charge in the ethoxide ion</w:t>
            </w:r>
          </w:p>
        </w:tc>
      </w:tr>
      <w:tr>
        <w:tc>
          <w:tcPr>
            <w:tcW w:type="dxa" w:w="3044"/>
            <w:shd w:fill="F1F5F9" w:color="auto" w:val="clear"/>
            <w:tcMar>
              <w:top w:type="dxa" w:w="60"/>
              <w:left w:type="dxa" w:w="100"/>
              <w:bottom w:type="dxa" w:w="60"/>
              <w:right w:type="dxa" w:w="100"/>
            </w:tcMar>
            <w:vAlign w:val="center"/>
          </w:tcPr>
          <w:p>
            <w:pPr>
              <w:spacing w:after="0" w:before="0" w:line="276"/>
            </w:pPr>
            <w:r>
              <w:rPr>
                <w:rFonts w:ascii="Arial" w:cs="Arial" w:eastAsia="Arial" w:hAnsi="Arial"/>
                <w:b/>
                <w:bCs/>
                <w:color w:val="1F2937"/>
                <w:sz w:val="20"/>
                <w:szCs w:val="20"/>
              </w:rPr>
              <w:t xml:space="preserve">phenol</w:t>
            </w:r>
          </w:p>
        </w:tc>
        <w:tc>
          <w:tcPr>
            <w:tcW w:type="dxa" w:w="1015"/>
            <w:shd w:fill="FFFFFF" w:color="auto" w:val="clear"/>
            <w:tcMar>
              <w:top w:type="dxa" w:w="60"/>
              <w:left w:type="dxa" w:w="100"/>
              <w:bottom w:type="dxa" w:w="60"/>
              <w:right w:type="dxa" w:w="100"/>
            </w:tcMar>
            <w:vAlign w:val="center"/>
          </w:tcPr>
          <w:p>
            <w:pPr>
              <w:spacing w:after="0" w:before="0" w:line="276"/>
            </w:pPr>
            <w:r>
              <w:rPr>
                <w:rFonts w:ascii="Arial" w:cs="Arial" w:eastAsia="Arial" w:hAnsi="Arial"/>
                <w:b w:val="false"/>
                <w:bCs w:val="false"/>
                <w:color w:val="1F2937"/>
                <w:sz w:val="20"/>
                <w:szCs w:val="20"/>
              </w:rPr>
              <w:t xml:space="preserve">10.0</w:t>
            </w:r>
          </w:p>
        </w:tc>
        <w:tc>
          <w:tcPr>
            <w:tcW w:type="dxa" w:w="5581"/>
            <w:shd w:fill="FFFFFF" w:color="auto" w:val="clear"/>
            <w:tcMar>
              <w:top w:type="dxa" w:w="60"/>
              <w:left w:type="dxa" w:w="100"/>
              <w:bottom w:type="dxa" w:w="60"/>
              <w:right w:type="dxa" w:w="100"/>
            </w:tcMar>
            <w:vAlign w:val="center"/>
          </w:tcPr>
          <w:p>
            <w:pPr>
              <w:spacing w:after="0" w:before="0" w:line="276"/>
            </w:pPr>
            <w:r>
              <w:rPr>
                <w:rFonts w:ascii="Arial" w:cs="Arial" w:eastAsia="Arial" w:hAnsi="Arial"/>
                <w:b w:val="false"/>
                <w:bCs w:val="false"/>
                <w:color w:val="1F2937"/>
                <w:sz w:val="20"/>
                <w:szCs w:val="20"/>
              </w:rPr>
              <w:t xml:space="preserve">charge delocalised into the ring (resonance)</w:t>
            </w:r>
          </w:p>
        </w:tc>
      </w:tr>
      <w:tr>
        <w:tc>
          <w:tcPr>
            <w:tcW w:type="dxa" w:w="3044"/>
            <w:shd w:fill="F1F5F9" w:color="auto" w:val="clear"/>
            <w:tcMar>
              <w:top w:type="dxa" w:w="60"/>
              <w:left w:type="dxa" w:w="100"/>
              <w:bottom w:type="dxa" w:w="60"/>
              <w:right w:type="dxa" w:w="100"/>
            </w:tcMar>
            <w:vAlign w:val="center"/>
          </w:tcPr>
          <w:p>
            <w:pPr>
              <w:spacing w:after="0" w:before="0" w:line="276"/>
            </w:pPr>
            <w:r>
              <w:rPr>
                <w:rFonts w:ascii="Arial" w:cs="Arial" w:eastAsia="Arial" w:hAnsi="Arial"/>
                <w:b/>
                <w:bCs/>
                <w:color w:val="1F2937"/>
                <w:sz w:val="20"/>
                <w:szCs w:val="20"/>
              </w:rPr>
              <w:t xml:space="preserve">3-nitrophenol</w:t>
            </w:r>
          </w:p>
        </w:tc>
        <w:tc>
          <w:tcPr>
            <w:tcW w:type="dxa" w:w="1015"/>
            <w:shd w:fill="FFFFFF" w:color="auto" w:val="clear"/>
            <w:tcMar>
              <w:top w:type="dxa" w:w="60"/>
              <w:left w:type="dxa" w:w="100"/>
              <w:bottom w:type="dxa" w:w="60"/>
              <w:right w:type="dxa" w:w="100"/>
            </w:tcMar>
            <w:vAlign w:val="center"/>
          </w:tcPr>
          <w:p>
            <w:pPr>
              <w:spacing w:after="0" w:before="0" w:line="276"/>
            </w:pPr>
            <w:r>
              <w:rPr>
                <w:rFonts w:ascii="Arial" w:cs="Arial" w:eastAsia="Arial" w:hAnsi="Arial"/>
                <w:b w:val="false"/>
                <w:bCs w:val="false"/>
                <w:color w:val="1F2937"/>
                <w:sz w:val="20"/>
                <w:szCs w:val="20"/>
              </w:rPr>
              <w:t xml:space="preserve">8.4</w:t>
            </w:r>
          </w:p>
        </w:tc>
        <w:tc>
          <w:tcPr>
            <w:tcW w:type="dxa" w:w="5581"/>
            <w:shd w:fill="FFFFFF" w:color="auto" w:val="clear"/>
            <w:tcMar>
              <w:top w:type="dxa" w:w="60"/>
              <w:left w:type="dxa" w:w="100"/>
              <w:bottom w:type="dxa" w:w="60"/>
              <w:right w:type="dxa" w:w="100"/>
            </w:tcMar>
            <w:vAlign w:val="center"/>
          </w:tcPr>
          <w:p>
            <w:pPr>
              <w:spacing w:after="0" w:before="0" w:line="276"/>
            </w:pPr>
            <w:r>
              <w:rPr>
                <w:rFonts w:ascii="Arial" w:cs="Arial" w:eastAsia="Arial" w:hAnsi="Arial"/>
                <w:b w:val="false"/>
                <w:bCs w:val="false"/>
                <w:color w:val="1F2937"/>
                <w:sz w:val="20"/>
                <w:szCs w:val="20"/>
              </w:rPr>
              <w:t xml:space="preserve">–NO₂ withdraws inductively; meta position cannot delocalise the charge onto NO₂</w:t>
            </w:r>
          </w:p>
        </w:tc>
      </w:tr>
      <w:tr>
        <w:tc>
          <w:tcPr>
            <w:tcW w:type="dxa" w:w="3044"/>
            <w:shd w:fill="F1F5F9" w:color="auto" w:val="clear"/>
            <w:tcMar>
              <w:top w:type="dxa" w:w="60"/>
              <w:left w:type="dxa" w:w="100"/>
              <w:bottom w:type="dxa" w:w="60"/>
              <w:right w:type="dxa" w:w="100"/>
            </w:tcMar>
            <w:vAlign w:val="center"/>
          </w:tcPr>
          <w:p>
            <w:pPr>
              <w:spacing w:after="0" w:before="0" w:line="276"/>
            </w:pPr>
            <w:r>
              <w:rPr>
                <w:rFonts w:ascii="Arial" w:cs="Arial" w:eastAsia="Arial" w:hAnsi="Arial"/>
                <w:b/>
                <w:bCs/>
                <w:color w:val="1F2937"/>
                <w:sz w:val="20"/>
                <w:szCs w:val="20"/>
              </w:rPr>
              <w:t xml:space="preserve">4-nitrophenol</w:t>
            </w:r>
          </w:p>
        </w:tc>
        <w:tc>
          <w:tcPr>
            <w:tcW w:type="dxa" w:w="1015"/>
            <w:shd w:fill="FFFFFF" w:color="auto" w:val="clear"/>
            <w:tcMar>
              <w:top w:type="dxa" w:w="60"/>
              <w:left w:type="dxa" w:w="100"/>
              <w:bottom w:type="dxa" w:w="60"/>
              <w:right w:type="dxa" w:w="100"/>
            </w:tcMar>
            <w:vAlign w:val="center"/>
          </w:tcPr>
          <w:p>
            <w:pPr>
              <w:spacing w:after="0" w:before="0" w:line="276"/>
            </w:pPr>
            <w:r>
              <w:rPr>
                <w:rFonts w:ascii="Arial" w:cs="Arial" w:eastAsia="Arial" w:hAnsi="Arial"/>
                <w:b w:val="false"/>
                <w:bCs w:val="false"/>
                <w:color w:val="1F2937"/>
                <w:sz w:val="20"/>
                <w:szCs w:val="20"/>
              </w:rPr>
              <w:t xml:space="preserve">7.2</w:t>
            </w:r>
          </w:p>
        </w:tc>
        <w:tc>
          <w:tcPr>
            <w:tcW w:type="dxa" w:w="5581"/>
            <w:shd w:fill="FFFFFF" w:color="auto" w:val="clear"/>
            <w:tcMar>
              <w:top w:type="dxa" w:w="60"/>
              <w:left w:type="dxa" w:w="100"/>
              <w:bottom w:type="dxa" w:w="60"/>
              <w:right w:type="dxa" w:w="100"/>
            </w:tcMar>
            <w:vAlign w:val="center"/>
          </w:tcPr>
          <w:p>
            <w:pPr>
              <w:spacing w:after="0" w:before="0" w:line="276"/>
            </w:pPr>
            <w:r>
              <w:rPr>
                <w:rFonts w:ascii="Arial" w:cs="Arial" w:eastAsia="Arial" w:hAnsi="Arial"/>
                <w:b w:val="false"/>
                <w:bCs w:val="false"/>
                <w:color w:val="1F2937"/>
                <w:sz w:val="20"/>
                <w:szCs w:val="20"/>
              </w:rPr>
              <w:t xml:space="preserve">–NO₂ withdraws AND accepts the charge by resonance (para)</w:t>
            </w:r>
          </w:p>
        </w:tc>
      </w:tr>
      <w:tr>
        <w:tc>
          <w:tcPr>
            <w:tcW w:type="dxa" w:w="3044"/>
            <w:shd w:fill="F1F5F9" w:color="auto" w:val="clear"/>
            <w:tcMar>
              <w:top w:type="dxa" w:w="60"/>
              <w:left w:type="dxa" w:w="100"/>
              <w:bottom w:type="dxa" w:w="60"/>
              <w:right w:type="dxa" w:w="100"/>
            </w:tcMar>
            <w:vAlign w:val="center"/>
          </w:tcPr>
          <w:p>
            <w:pPr>
              <w:spacing w:after="0" w:before="0" w:line="276"/>
            </w:pPr>
            <w:r>
              <w:rPr>
                <w:rFonts w:ascii="Arial" w:cs="Arial" w:eastAsia="Arial" w:hAnsi="Arial"/>
                <w:b/>
                <w:bCs/>
                <w:color w:val="1F2937"/>
                <w:sz w:val="20"/>
                <w:szCs w:val="20"/>
              </w:rPr>
              <w:t xml:space="preserve">2,4,6-trinitrophenol (picric acid)</w:t>
            </w:r>
          </w:p>
        </w:tc>
        <w:tc>
          <w:tcPr>
            <w:tcW w:type="dxa" w:w="1015"/>
            <w:shd w:fill="FFFFFF" w:color="auto" w:val="clear"/>
            <w:tcMar>
              <w:top w:type="dxa" w:w="60"/>
              <w:left w:type="dxa" w:w="100"/>
              <w:bottom w:type="dxa" w:w="60"/>
              <w:right w:type="dxa" w:w="100"/>
            </w:tcMar>
            <w:vAlign w:val="center"/>
          </w:tcPr>
          <w:p>
            <w:pPr>
              <w:spacing w:after="0" w:before="0" w:line="276"/>
            </w:pPr>
            <w:r>
              <w:rPr>
                <w:rFonts w:ascii="Arial" w:cs="Arial" w:eastAsia="Arial" w:hAnsi="Arial"/>
                <w:b w:val="false"/>
                <w:bCs w:val="false"/>
                <w:color w:val="1F2937"/>
                <w:sz w:val="20"/>
                <w:szCs w:val="20"/>
              </w:rPr>
              <w:t xml:space="preserve">0.4</w:t>
            </w:r>
          </w:p>
        </w:tc>
        <w:tc>
          <w:tcPr>
            <w:tcW w:type="dxa" w:w="5581"/>
            <w:shd w:fill="FFFFFF" w:color="auto" w:val="clear"/>
            <w:tcMar>
              <w:top w:type="dxa" w:w="60"/>
              <w:left w:type="dxa" w:w="100"/>
              <w:bottom w:type="dxa" w:w="60"/>
              <w:right w:type="dxa" w:w="100"/>
            </w:tcMar>
            <w:vAlign w:val="center"/>
          </w:tcPr>
          <w:p>
            <w:pPr>
              <w:spacing w:after="0" w:before="0" w:line="276"/>
            </w:pPr>
            <w:r>
              <w:rPr>
                <w:rFonts w:ascii="Arial" w:cs="Arial" w:eastAsia="Arial" w:hAnsi="Arial"/>
                <w:b w:val="false"/>
                <w:bCs w:val="false"/>
                <w:color w:val="1F2937"/>
                <w:sz w:val="20"/>
                <w:szCs w:val="20"/>
              </w:rPr>
              <w:t xml:space="preserve">three –NO₂ groups: as strong as a mineral acid</w:t>
            </w:r>
          </w:p>
        </w:tc>
      </w:tr>
      <w:tr>
        <w:tc>
          <w:tcPr>
            <w:tcW w:type="dxa" w:w="3044"/>
            <w:shd w:fill="F1F5F9" w:color="auto" w:val="clear"/>
            <w:tcMar>
              <w:top w:type="dxa" w:w="60"/>
              <w:left w:type="dxa" w:w="100"/>
              <w:bottom w:type="dxa" w:w="60"/>
              <w:right w:type="dxa" w:w="100"/>
            </w:tcMar>
            <w:vAlign w:val="center"/>
          </w:tcPr>
          <w:p>
            <w:pPr>
              <w:spacing w:after="0" w:before="0" w:line="276"/>
            </w:pPr>
            <w:r>
              <w:rPr>
                <w:rFonts w:ascii="Arial" w:cs="Arial" w:eastAsia="Arial" w:hAnsi="Arial"/>
                <w:b/>
                <w:bCs/>
                <w:color w:val="1F2937"/>
                <w:sz w:val="20"/>
                <w:szCs w:val="20"/>
              </w:rPr>
              <w:t xml:space="preserve">ethanoic acid</w:t>
            </w:r>
          </w:p>
        </w:tc>
        <w:tc>
          <w:tcPr>
            <w:tcW w:type="dxa" w:w="1015"/>
            <w:shd w:fill="FFFFFF" w:color="auto" w:val="clear"/>
            <w:tcMar>
              <w:top w:type="dxa" w:w="60"/>
              <w:left w:type="dxa" w:w="100"/>
              <w:bottom w:type="dxa" w:w="60"/>
              <w:right w:type="dxa" w:w="100"/>
            </w:tcMar>
            <w:vAlign w:val="center"/>
          </w:tcPr>
          <w:p>
            <w:pPr>
              <w:spacing w:after="0" w:before="0" w:line="276"/>
            </w:pPr>
            <w:r>
              <w:rPr>
                <w:rFonts w:ascii="Arial" w:cs="Arial" w:eastAsia="Arial" w:hAnsi="Arial"/>
                <w:b w:val="false"/>
                <w:bCs w:val="false"/>
                <w:color w:val="1F2937"/>
                <w:sz w:val="20"/>
                <w:szCs w:val="20"/>
              </w:rPr>
              <w:t xml:space="preserve">4.8</w:t>
            </w:r>
          </w:p>
        </w:tc>
        <w:tc>
          <w:tcPr>
            <w:tcW w:type="dxa" w:w="5581"/>
            <w:shd w:fill="FFFFFF" w:color="auto" w:val="clear"/>
            <w:tcMar>
              <w:top w:type="dxa" w:w="60"/>
              <w:left w:type="dxa" w:w="100"/>
              <w:bottom w:type="dxa" w:w="60"/>
              <w:right w:type="dxa" w:w="100"/>
            </w:tcMar>
            <w:vAlign w:val="center"/>
          </w:tcPr>
          <w:p>
            <w:pPr>
              <w:spacing w:after="0" w:before="0" w:line="276"/>
            </w:pPr>
            <w:r>
              <w:rPr>
                <w:rFonts w:ascii="Arial" w:cs="Arial" w:eastAsia="Arial" w:hAnsi="Arial"/>
                <w:b w:val="false"/>
                <w:bCs w:val="false"/>
                <w:color w:val="1F2937"/>
                <w:sz w:val="20"/>
                <w:szCs w:val="20"/>
              </w:rPr>
              <w:t xml:space="preserve">charge shared equally by two equivalent oxygens</w:t>
            </w:r>
          </w:p>
        </w:tc>
      </w:tr>
    </w:tbl>
    <w:p>
      <w:pPr>
        <w:spacing w:after="40" w:before="0" w:line="276"/>
      </w:pPr>
      <w:r>
        <w:rPr>
          <w:rFonts w:ascii="Arial" w:cs="Arial" w:eastAsia="Arial" w:hAnsi="Arial"/>
          <w:color w:val="1F2937"/>
          <w:sz w:val="22"/>
          <w:szCs w:val="22"/>
        </w:rPr>
        <w:t xml:space="preserve"> </w:t>
      </w:r>
    </w:p>
    <w:p>
      <w:pPr>
        <w:spacing w:after="40" w:before="60" w:line="276"/>
      </w:pPr>
      <w:r>
        <w:rPr>
          <w:rFonts w:ascii="Arial" w:cs="Arial" w:eastAsia="Arial" w:hAnsi="Arial"/>
          <w:color w:val="1F2937"/>
          <w:sz w:val="22"/>
          <w:szCs w:val="22"/>
        </w:rPr>
        <w:t xml:space="preserve">Kolbe–Schmitt reaction (1860): sodium phenoxide + CO₂ at 125 °C and 100 atm, then acid, gives 2-hydroxybenzoic acid (salicylic acid). The phenoxide's O⁻ activates the ring enough to attack the weak electrophile CO₂; the sodium ion holds CO₂ next to the ortho position. Salicylic acid + ethanoic anhydride (or ethanoyl chloride, 6.1.3) → aspirin.</w:t>
      </w:r>
    </w:p>
    <w:p>
      <w:pPr>
        <w:spacing w:after="80" w:before="80"/>
        <w:jc w:val="center"/>
      </w:pPr>
      <w:r>
        <w:drawing>
          <wp:inline distT="0" distB="0" distL="0" distR="0">
            <wp:extent cx="4391025" cy="18669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 cstate="none"/>
                    <a:srcRect/>
                    <a:stretch>
                      <a:fillRect/>
                    </a:stretch>
                  </pic:blipFill>
                  <pic:spPr bwMode="auto">
                    <a:xfrm>
                      <a:off x="0" y="0"/>
                      <a:ext cx="4391025" cy="1866900"/>
                    </a:xfrm>
                    <a:prstGeom prst="rect">
                      <a:avLst/>
                    </a:prstGeom>
                  </pic:spPr>
                </pic:pic>
              </a:graphicData>
            </a:graphic>
          </wp:inline>
        </w:drawing>
      </w:r>
    </w:p>
    <w:p>
      <w:pPr>
        <w:keepNext/>
        <w:spacing w:after="40" w:before="200"/>
      </w:pPr>
      <w:r>
        <w:rPr>
          <w:rFonts w:ascii="Arial" w:cs="Arial" w:eastAsia="Arial" w:hAnsi="Arial"/>
          <w:b/>
          <w:bCs/>
          <w:color w:val="6D28D9"/>
          <w:sz w:val="22"/>
          <w:szCs w:val="22"/>
        </w:rPr>
        <w:t xml:space="preserve">6.1  </w:t>
      </w:r>
      <w:r>
        <w:rPr>
          <w:rFonts w:ascii="Arial" w:cs="Arial" w:eastAsia="Arial" w:hAnsi="Arial"/>
          <w:color w:val="1F2937"/>
          <w:sz w:val="22"/>
          <w:szCs w:val="22"/>
        </w:rPr>
        <w:t xml:space="preserve">Rank in order of increasing acidity: phenol, 4-methylphenol, 4-nitrophenol, 3-nitrophenol, 2,4-dinitrophenol, cyclohexanol. Justify the position of 4-methylphenol.</w:t>
      </w:r>
      <w:r>
        <w:rPr>
          <w:rFonts w:ascii="Arial" w:cs="Arial" w:eastAsia="Arial" w:hAnsi="Arial"/>
          <w:b/>
          <w:bCs/>
          <w:color w:val="D97706"/>
          <w:sz w:val="20"/>
          <w:szCs w:val="20"/>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val="false"/>
        <w:pBdr>
          <w:bottom w:val="single" w:color="A1A1AA" w:sz="4" w:space="1"/>
        </w:pBdr>
        <w:spacing w:after="0" w:before="0" w:line="420"/>
      </w:pPr>
      <w:r>
        <w:rPr>
          <w:rFonts w:ascii="Arial" w:cs="Arial" w:eastAsia="Arial" w:hAnsi="Arial"/>
          <w:color w:val="1F2937"/>
          <w:sz w:val="22"/>
          <w:szCs w:val="22"/>
        </w:rPr>
        <w:t xml:space="preserve"> </w:t>
      </w:r>
    </w:p>
    <w:p>
      <w:pPr>
        <w:spacing w:after="40" w:before="0" w:line="276"/>
      </w:pPr>
      <w:r>
        <w:rPr>
          <w:rFonts w:ascii="Arial" w:cs="Arial" w:eastAsia="Arial" w:hAnsi="Arial"/>
          <w:color w:val="1F2937"/>
          <w:sz w:val="22"/>
          <w:szCs w:val="22"/>
        </w:rPr>
        <w:t xml:space="preserve"> </w:t>
      </w:r>
    </w:p>
    <w:p>
      <w:pPr>
        <w:keepNext/>
        <w:spacing w:after="40" w:before="200"/>
      </w:pPr>
      <w:r>
        <w:rPr>
          <w:rFonts w:ascii="Arial" w:cs="Arial" w:eastAsia="Arial" w:hAnsi="Arial"/>
          <w:b/>
          <w:bCs/>
          <w:color w:val="6D28D9"/>
          <w:sz w:val="22"/>
          <w:szCs w:val="22"/>
        </w:rPr>
        <w:t xml:space="preserve">6.2  </w:t>
      </w:r>
      <w:r>
        <w:rPr>
          <w:rFonts w:ascii="Arial" w:cs="Arial" w:eastAsia="Arial" w:hAnsi="Arial"/>
          <w:color w:val="1F2937"/>
          <w:sz w:val="22"/>
          <w:szCs w:val="22"/>
        </w:rPr>
        <w:t xml:space="preserve">Draw resonance forms to show why the negative charge of 4-nitrophenoxide can be delocalised onto the nitro group, but that of 3-nitrophenoxide cannot.</w:t>
      </w:r>
      <w:r>
        <w:rPr>
          <w:rFonts w:ascii="Arial" w:cs="Arial" w:eastAsia="Arial" w:hAnsi="Arial"/>
          <w:b/>
          <w:bCs/>
          <w:color w:val="D97706"/>
          <w:sz w:val="20"/>
          <w:szCs w:val="20"/>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val="false"/>
        <w:pBdr>
          <w:bottom w:val="single" w:color="A1A1AA" w:sz="4" w:space="1"/>
        </w:pBdr>
        <w:spacing w:after="0" w:before="0" w:line="420"/>
      </w:pPr>
      <w:r>
        <w:rPr>
          <w:rFonts w:ascii="Arial" w:cs="Arial" w:eastAsia="Arial" w:hAnsi="Arial"/>
          <w:color w:val="1F2937"/>
          <w:sz w:val="22"/>
          <w:szCs w:val="22"/>
        </w:rPr>
        <w:t xml:space="preserve"> </w:t>
      </w:r>
    </w:p>
    <w:p>
      <w:pPr>
        <w:spacing w:after="40" w:before="0" w:line="276"/>
      </w:pPr>
      <w:r>
        <w:rPr>
          <w:rFonts w:ascii="Arial" w:cs="Arial" w:eastAsia="Arial" w:hAnsi="Arial"/>
          <w:color w:val="1F2937"/>
          <w:sz w:val="22"/>
          <w:szCs w:val="22"/>
        </w:rPr>
        <w:t xml:space="preserve"> </w:t>
      </w:r>
    </w:p>
    <w:p>
      <w:pPr>
        <w:keepNext/>
        <w:spacing w:after="40" w:before="200"/>
      </w:pPr>
      <w:r>
        <w:rPr>
          <w:rFonts w:ascii="Arial" w:cs="Arial" w:eastAsia="Arial" w:hAnsi="Arial"/>
          <w:b/>
          <w:bCs/>
          <w:color w:val="6D28D9"/>
          <w:sz w:val="22"/>
          <w:szCs w:val="22"/>
        </w:rPr>
        <w:t xml:space="preserve">6.3  </w:t>
      </w:r>
      <w:r>
        <w:rPr>
          <w:rFonts w:ascii="Arial" w:cs="Arial" w:eastAsia="Arial" w:hAnsi="Arial"/>
          <w:color w:val="1F2937"/>
          <w:sz w:val="22"/>
          <w:szCs w:val="22"/>
        </w:rPr>
        <w:t xml:space="preserve">Explain why the Kolbe–Schmitt reaction is carried out on sodium phenoxide rather than phenol, and why the product is the 2-isomer rather than the 4-isomer.</w:t>
      </w:r>
      <w:r>
        <w:rPr>
          <w:rFonts w:ascii="Arial" w:cs="Arial" w:eastAsia="Arial" w:hAnsi="Arial"/>
          <w:b/>
          <w:bCs/>
          <w:color w:val="D97706"/>
          <w:sz w:val="20"/>
          <w:szCs w:val="20"/>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val="false"/>
        <w:pBdr>
          <w:bottom w:val="single" w:color="A1A1AA" w:sz="4" w:space="1"/>
        </w:pBdr>
        <w:spacing w:after="0" w:before="0" w:line="420"/>
      </w:pPr>
      <w:r>
        <w:rPr>
          <w:rFonts w:ascii="Arial" w:cs="Arial" w:eastAsia="Arial" w:hAnsi="Arial"/>
          <w:color w:val="1F2937"/>
          <w:sz w:val="22"/>
          <w:szCs w:val="22"/>
        </w:rPr>
        <w:t xml:space="preserve"> </w:t>
      </w:r>
    </w:p>
    <w:p>
      <w:pPr>
        <w:spacing w:after="40" w:before="0" w:line="276"/>
      </w:pPr>
      <w:r>
        <w:rPr>
          <w:rFonts w:ascii="Arial" w:cs="Arial" w:eastAsia="Arial" w:hAnsi="Arial"/>
          <w:color w:val="1F2937"/>
          <w:sz w:val="22"/>
          <w:szCs w:val="22"/>
        </w:rPr>
        <w:t xml:space="preserve"> </w:t>
      </w:r>
    </w:p>
    <w:tbl>
      <w:tblPr>
        <w:tblW w:type="dxa" w:w="9640"/>
        <w:tblBorders>
          <w:top w:val="single" w:color="CBD5E1" w:sz="8"/>
          <w:left w:val="single" w:color="CBD5E1" w:sz="8"/>
          <w:bottom w:val="single" w:color="CBD5E1" w:sz="8"/>
          <w:right w:val="single" w:color="CBD5E1" w:sz="8"/>
          <w:insideH w:val="single" w:color="CBD5E1" w:sz="8"/>
          <w:insideV w:val="single" w:color="CBD5E1" w:sz="8"/>
        </w:tblBorders>
      </w:tblPr>
      <w:tblGrid>
        <w:gridCol w:w="9640"/>
      </w:tblGrid>
      <w:tr>
        <w:trPr>
          <w:cantSplit/>
        </w:trPr>
        <w:tc>
          <w:tcPr>
            <w:tcW w:type="dxa" w:w="9640"/>
            <w:shd w:fill="F8FAFC" w:color="auto" w:val="clear"/>
            <w:tcMar>
              <w:top w:type="dxa" w:w="100"/>
              <w:left w:type="dxa" w:w="160"/>
              <w:bottom w:type="dxa" w:w="100"/>
              <w:right w:type="dxa" w:w="160"/>
            </w:tcMar>
          </w:tcPr>
          <w:p>
            <w:pPr>
              <w:spacing w:after="40" w:before="0" w:line="276"/>
            </w:pPr>
            <w:r>
              <w:rPr>
                <w:rFonts w:ascii="Arial" w:cs="Arial" w:eastAsia="Arial" w:hAnsi="Arial"/>
                <w:b/>
                <w:bCs/>
                <w:color w:val="6D28D9"/>
                <w:sz w:val="20"/>
                <w:szCs w:val="20"/>
              </w:rPr>
              <w:t xml:space="preserve">Reading for this section</w:t>
            </w:r>
          </w:p>
          <w:p>
            <w:pPr>
              <w:spacing w:after="20" w:before="20" w:line="276"/>
              <w:ind w:left="200" w:hanging="200"/>
            </w:pPr>
            <w:r>
              <w:rPr>
                <w:rFonts w:ascii="Arial" w:cs="Arial" w:eastAsia="Arial" w:hAnsi="Arial"/>
                <w:b/>
                <w:bCs/>
                <w:color w:val="6D28D9"/>
                <w:sz w:val="19"/>
                <w:szCs w:val="19"/>
              </w:rPr>
              <w:t xml:space="preserve">▸ </w:t>
            </w:r>
            <w:r>
              <w:rPr>
                <w:rFonts w:ascii="Arial" w:cs="Arial" w:eastAsia="Arial" w:hAnsi="Arial"/>
                <w:color w:val="1F2937"/>
                <w:sz w:val="19"/>
                <w:szCs w:val="19"/>
              </w:rPr>
              <w:t xml:space="preserve">Clayden ch. 8 'Acidity, basicity and pKₐ'</w:t>
            </w:r>
            <w:r>
              <w:rPr>
                <w:rFonts w:ascii="Arial" w:cs="Arial" w:eastAsia="Arial" w:hAnsi="Arial"/>
                <w:i/>
                <w:iCs/>
                <w:color w:val="4B5563"/>
                <w:sz w:val="19"/>
                <w:szCs w:val="19"/>
              </w:rPr>
              <w:t xml:space="preserve">  —  phenol's acidity in the context of every other organic acid</w:t>
            </w:r>
          </w:p>
          <w:p>
            <w:pPr>
              <w:spacing w:after="20" w:before="20" w:line="276"/>
              <w:ind w:left="200" w:hanging="200"/>
            </w:pPr>
            <w:r>
              <w:rPr>
                <w:rFonts w:ascii="Arial" w:cs="Arial" w:eastAsia="Arial" w:hAnsi="Arial"/>
                <w:b/>
                <w:bCs/>
                <w:color w:val="6D28D9"/>
                <w:sz w:val="19"/>
                <w:szCs w:val="19"/>
              </w:rPr>
              <w:t xml:space="preserve">▸ </w:t>
            </w:r>
            <w:r>
              <w:rPr>
                <w:rFonts w:ascii="Arial" w:cs="Arial" w:eastAsia="Arial" w:hAnsi="Arial"/>
                <w:color w:val="1F2937"/>
                <w:sz w:val="19"/>
                <w:szCs w:val="19"/>
              </w:rPr>
              <w:t xml:space="preserve">J. Emsley, Molecules at an Exhibition (OUP) — the aspirin entry</w:t>
            </w:r>
            <w:r>
              <w:rPr>
                <w:rFonts w:ascii="Arial" w:cs="Arial" w:eastAsia="Arial" w:hAnsi="Arial"/>
                <w:i/>
                <w:iCs/>
                <w:color w:val="4B5563"/>
                <w:sz w:val="19"/>
                <w:szCs w:val="19"/>
              </w:rPr>
              <w:t xml:space="preserve">  —  short, readable history of salicylic acid and aspirin</w:t>
            </w:r>
          </w:p>
        </w:tc>
      </w:tr>
    </w:tbl>
    <w:p>
      <w:pPr>
        <w:spacing w:after="40" w:before="0" w:line="276"/>
      </w:pPr>
      <w:r>
        <w:rPr>
          <w:rFonts w:ascii="Arial" w:cs="Arial" w:eastAsia="Arial" w:hAnsi="Arial"/>
          <w:color w:val="1F2937"/>
          <w:sz w:val="22"/>
          <w:szCs w:val="22"/>
        </w:rPr>
        <w:t xml:space="preserve"> </w:t>
      </w:r>
    </w:p>
    <w:p>
      <w:pPr>
        <w:pageBreakBefore/>
        <w:spacing w:after="0" w:before="0" w:line="20"/>
      </w:pPr>
      <w:r>
        <w:rPr>
          <w:sz w:val="2"/>
          <w:szCs w:val="2"/>
        </w:rPr>
        <w:t xml:space="preserve"/>
      </w:r>
    </w:p>
    <w:tbl>
      <w:tblPr>
        <w:tblW w:type="dxa" w:w="9640"/>
        <w:tblBorders>
          <w:top w:val="none" w:color="FFFFFF" w:sz="0"/>
          <w:left w:val="none" w:color="FFFFFF" w:sz="0"/>
          <w:bottom w:val="none" w:color="FFFFFF" w:sz="0"/>
          <w:right w:val="none" w:color="FFFFFF" w:sz="0"/>
          <w:insideH w:val="none" w:color="FFFFFF" w:sz="0"/>
          <w:insideV w:val="none" w:color="FFFFFF" w:sz="0"/>
        </w:tblBorders>
      </w:tblPr>
      <w:tblGrid>
        <w:gridCol w:w="9640"/>
      </w:tblGrid>
      <w:tr>
        <w:trPr>
          <w:cantSplit/>
        </w:trPr>
        <w:tc>
          <w:tcPr>
            <w:tcW w:type="dxa" w:w="9640"/>
            <w:shd w:fill="6D28D9" w:color="auto" w:val="clear"/>
            <w:tcMar>
              <w:top w:type="dxa" w:w="160"/>
              <w:left w:type="dxa" w:w="240"/>
              <w:bottom w:type="dxa" w:w="160"/>
              <w:right w:type="dxa" w:w="240"/>
            </w:tcMar>
          </w:tcPr>
          <w:p>
            <w:pPr>
              <w:tabs>
                <w:tab w:val="right" w:pos="9160"/>
              </w:tabs>
              <w:spacing w:after="0" w:before="0" w:line="276"/>
            </w:pPr>
            <w:r>
              <w:rPr>
                <w:rFonts w:ascii="Arial" w:cs="Arial" w:eastAsia="Arial" w:hAnsi="Arial"/>
                <w:b/>
                <w:bCs/>
                <w:color w:val="FFFFFF"/>
                <w:sz w:val="22"/>
                <w:szCs w:val="22"/>
              </w:rPr>
              <w:t xml:space="preserve">Section 7</w:t>
            </w:r>
            <w:r>
              <w:rPr>
                <w:rFonts w:ascii="Arial" w:cs="Arial" w:eastAsia="Arial" w:hAnsi="Arial"/>
                <w:b/>
                <w:bCs/>
                <w:color w:val="FFFFFF"/>
                <w:sz w:val="18"/>
                <w:szCs w:val="18"/>
              </w:rPr>
              <w:t xml:space="preserve">	PART A · FIRST-YEAR UNDERGRADUATE LEVEL</w:t>
            </w:r>
          </w:p>
          <w:p>
            <w:pPr>
              <w:spacing w:after="40" w:before="40" w:line="276"/>
            </w:pPr>
            <w:r>
              <w:rPr>
                <w:rFonts w:ascii="Arial" w:cs="Arial" w:eastAsia="Arial" w:hAnsi="Arial"/>
                <w:b/>
                <w:bCs/>
                <w:color w:val="FFFFFF"/>
                <w:sz w:val="32"/>
                <w:szCs w:val="32"/>
              </w:rPr>
              <w:t xml:space="preserve">Nucleophilic aromatic substitution and benzyne</w:t>
            </w:r>
          </w:p>
          <w:p>
            <w:pPr>
              <w:spacing w:after="0" w:before="0" w:line="276"/>
            </w:pPr>
            <w:r>
              <w:rPr>
                <w:rFonts w:ascii="Arial" w:cs="Arial" w:eastAsia="Arial" w:hAnsi="Arial"/>
                <w:i/>
                <w:iCs/>
                <w:color w:val="F5F3FF"/>
                <w:sz w:val="21"/>
                <w:szCs w:val="21"/>
              </w:rPr>
              <w:t xml:space="preserve">At A-level the ring is always the nucleophile. Under the right conditions the ring can be ATTACKED BY nucleophiles — by two completely different mechanisms.</w:t>
            </w:r>
          </w:p>
        </w:tc>
      </w:tr>
    </w:tbl>
    <w:p>
      <w:pPr>
        <w:spacing w:after="40" w:before="0" w:line="276"/>
      </w:pPr>
      <w:r>
        <w:rPr>
          <w:rFonts w:ascii="Arial" w:cs="Arial" w:eastAsia="Arial" w:hAnsi="Arial"/>
          <w:color w:val="1F2937"/>
          <w:sz w:val="22"/>
          <w:szCs w:val="22"/>
        </w:rPr>
        <w:t xml:space="preserve"> </w:t>
      </w:r>
    </w:p>
    <w:p>
      <w:pPr>
        <w:spacing w:after="80" w:before="80"/>
        <w:jc w:val="center"/>
      </w:pPr>
      <w:r>
        <w:drawing>
          <wp:inline distT="0" distB="0" distL="0" distR="0">
            <wp:extent cx="5848350" cy="19812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 cstate="none"/>
                    <a:srcRect/>
                    <a:stretch>
                      <a:fillRect/>
                    </a:stretch>
                  </pic:blipFill>
                  <pic:spPr bwMode="auto">
                    <a:xfrm>
                      <a:off x="0" y="0"/>
                      <a:ext cx="5848350" cy="1981200"/>
                    </a:xfrm>
                    <a:prstGeom prst="rect">
                      <a:avLst/>
                    </a:prstGeom>
                  </pic:spPr>
                </pic:pic>
              </a:graphicData>
            </a:graphic>
          </wp:inline>
        </w:drawing>
      </w:r>
    </w:p>
    <w:p>
      <w:pPr>
        <w:spacing w:after="100" w:before="0" w:line="276"/>
        <w:jc w:val="center"/>
      </w:pPr>
      <w:r>
        <w:rPr>
          <w:rFonts w:ascii="Arial" w:cs="Arial" w:eastAsia="Arial" w:hAnsi="Arial"/>
          <w:i/>
          <w:iCs/>
          <w:color w:val="6B7280"/>
          <w:sz w:val="18"/>
          <w:szCs w:val="18"/>
        </w:rPr>
        <w:t xml:space="preserve">SNAr (addition–elimination): hydroxide adds to the carbon bearing chlorine; the negative charge is delocalised onto the nitro groups in the Meisenheimer intermediate; chloride then leaves.</w:t>
      </w:r>
    </w:p>
    <w:tbl>
      <w:tblPr>
        <w:tblW w:type="dxa" w:w="9640"/>
        <w:tblBorders>
          <w:top w:val="single" w:color="14B8A6" w:sz="8"/>
          <w:left w:val="single" w:color="14B8A6" w:sz="8"/>
          <w:bottom w:val="single" w:color="14B8A6" w:sz="8"/>
          <w:right w:val="single" w:color="14B8A6" w:sz="8"/>
          <w:insideH w:val="single" w:color="14B8A6" w:sz="8"/>
          <w:insideV w:val="single" w:color="14B8A6" w:sz="8"/>
        </w:tblBorders>
      </w:tblPr>
      <w:tblGrid>
        <w:gridCol w:w="9640"/>
      </w:tblGrid>
      <w:tr>
        <w:trPr>
          <w:cantSplit/>
        </w:trPr>
        <w:tc>
          <w:tcPr>
            <w:tcW w:type="dxa" w:w="9640"/>
            <w:shd w:fill="CCFBF1" w:color="auto" w:val="clear"/>
            <w:tcMar>
              <w:top w:type="dxa" w:w="100"/>
              <w:left w:type="dxa" w:w="160"/>
              <w:bottom w:type="dxa" w:w="100"/>
              <w:right w:type="dxa" w:w="160"/>
            </w:tcMar>
          </w:tcPr>
          <w:p>
            <w:pPr>
              <w:spacing w:after="40" w:before="0" w:line="276"/>
            </w:pPr>
            <w:r>
              <w:rPr>
                <w:rFonts w:ascii="Arial" w:cs="Arial" w:eastAsia="Arial" w:hAnsi="Arial"/>
                <w:b/>
                <w:bCs/>
                <w:color w:val="0F766E"/>
                <w:sz w:val="22"/>
                <w:szCs w:val="22"/>
              </w:rPr>
              <w:t xml:space="preserve">Key facts</w:t>
            </w:r>
          </w:p>
          <w:p>
            <w:pPr>
              <w:spacing w:after="20" w:before="20" w:line="276"/>
            </w:pPr>
            <w:r>
              <w:rPr>
                <w:rFonts w:ascii="Arial" w:cs="Arial" w:eastAsia="Arial" w:hAnsi="Arial"/>
                <w:color w:val="1F2937"/>
                <w:sz w:val="21"/>
                <w:szCs w:val="21"/>
              </w:rPr>
              <w:t xml:space="preserve">•  SNAr needs (1) a good leaving group on the ring and (2) strong electron-withdrawing groups ORTHO or PARA to it, to stabilise the negative charge of the Meisenheimer intermediate. 2,4-Dinitrochlorobenzene reacts with warm NaOH; chlorobenzene itself needs 350 °C and 300 atm (the old Dow process for phenol).</w:t>
            </w:r>
          </w:p>
          <w:p>
            <w:pPr>
              <w:spacing w:after="20" w:before="20" w:line="276"/>
            </w:pPr>
            <w:r>
              <w:rPr>
                <w:rFonts w:ascii="Arial" w:cs="Arial" w:eastAsia="Arial" w:hAnsi="Arial"/>
                <w:color w:val="1F2937"/>
                <w:sz w:val="21"/>
                <w:szCs w:val="21"/>
              </w:rPr>
              <w:t xml:space="preserve">•  Benzyne (elimination–addition): a very strong base (NaNH₂ in liquid NH₃) removes H⁺ ortho to the halogen, chloride leaves, and the resulting 'triple bond' in the ring (benzyne) is attacked by the nucleophile at EITHER end.</w:t>
            </w:r>
          </w:p>
          <w:p>
            <w:pPr>
              <w:spacing w:after="20" w:before="20" w:line="276"/>
            </w:pPr>
            <w:r>
              <w:rPr>
                <w:rFonts w:ascii="Arial" w:cs="Arial" w:eastAsia="Arial" w:hAnsi="Arial"/>
                <w:color w:val="1F2937"/>
                <w:sz w:val="21"/>
                <w:szCs w:val="21"/>
              </w:rPr>
              <w:t xml:space="preserve">•  Evidence (Roberts, 1953): chlorobenzene labelled with ¹⁴C at C1 gave phenylamine with the label split 50 : 50 between C1 and C2 — impossible for a direct substitution.</w:t>
            </w:r>
          </w:p>
        </w:tc>
      </w:tr>
    </w:tbl>
    <w:p>
      <w:pPr>
        <w:keepNext/>
        <w:spacing w:after="40" w:before="200"/>
      </w:pPr>
      <w:r>
        <w:rPr>
          <w:rFonts w:ascii="Arial" w:cs="Arial" w:eastAsia="Arial" w:hAnsi="Arial"/>
          <w:b/>
          <w:bCs/>
          <w:color w:val="6D28D9"/>
          <w:sz w:val="22"/>
          <w:szCs w:val="22"/>
        </w:rPr>
        <w:t xml:space="preserve">7.1  </w:t>
      </w:r>
      <w:r>
        <w:rPr>
          <w:rFonts w:ascii="Arial" w:cs="Arial" w:eastAsia="Arial" w:hAnsi="Arial"/>
          <w:color w:val="1F2937"/>
          <w:sz w:val="22"/>
          <w:szCs w:val="22"/>
        </w:rPr>
        <w:t xml:space="preserve">Explain why 4-nitrochlorobenzene reacts with NaOH(aq) at 130 °C to give 4-nitrophenol, but chlorobenzene does not react under these conditions. Draw the key intermediate.</w:t>
      </w:r>
      <w:r>
        <w:rPr>
          <w:rFonts w:ascii="Arial" w:cs="Arial" w:eastAsia="Arial" w:hAnsi="Arial"/>
          <w:b/>
          <w:bCs/>
          <w:color w:val="D97706"/>
          <w:sz w:val="20"/>
          <w:szCs w:val="20"/>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val="false"/>
        <w:pBdr>
          <w:bottom w:val="single" w:color="A1A1AB" w:sz="4" w:space="1"/>
        </w:pBdr>
        <w:spacing w:after="0" w:before="0" w:line="420"/>
      </w:pPr>
      <w:r>
        <w:rPr>
          <w:rFonts w:ascii="Arial" w:cs="Arial" w:eastAsia="Arial" w:hAnsi="Arial"/>
          <w:color w:val="1F2937"/>
          <w:sz w:val="22"/>
          <w:szCs w:val="22"/>
        </w:rPr>
        <w:t xml:space="preserve"> </w:t>
      </w:r>
    </w:p>
    <w:p>
      <w:pPr>
        <w:spacing w:after="40" w:before="0" w:line="276"/>
      </w:pPr>
      <w:r>
        <w:rPr>
          <w:rFonts w:ascii="Arial" w:cs="Arial" w:eastAsia="Arial" w:hAnsi="Arial"/>
          <w:color w:val="1F2937"/>
          <w:sz w:val="22"/>
          <w:szCs w:val="22"/>
        </w:rPr>
        <w:t xml:space="preserve"> </w:t>
      </w:r>
    </w:p>
    <w:p>
      <w:pPr>
        <w:keepNext/>
        <w:spacing w:after="40" w:before="200"/>
      </w:pPr>
      <w:r>
        <w:rPr>
          <w:rFonts w:ascii="Arial" w:cs="Arial" w:eastAsia="Arial" w:hAnsi="Arial"/>
          <w:b/>
          <w:bCs/>
          <w:color w:val="6D28D9"/>
          <w:sz w:val="22"/>
          <w:szCs w:val="22"/>
        </w:rPr>
        <w:t xml:space="preserve">7.2  </w:t>
      </w:r>
      <w:r>
        <w:rPr>
          <w:rFonts w:ascii="Arial" w:cs="Arial" w:eastAsia="Arial" w:hAnsi="Arial"/>
          <w:color w:val="1F2937"/>
          <w:sz w:val="22"/>
          <w:szCs w:val="22"/>
        </w:rPr>
        <w:t xml:space="preserve">Predict the product(s) when 1-chloro-4-methylbenzene is treated with NaNH₂ in liquid ammonia, and explain using the benzyne mechanism.</w:t>
      </w:r>
      <w:r>
        <w:rPr>
          <w:rFonts w:ascii="Arial" w:cs="Arial" w:eastAsia="Arial" w:hAnsi="Arial"/>
          <w:b/>
          <w:bCs/>
          <w:color w:val="D97706"/>
          <w:sz w:val="20"/>
          <w:szCs w:val="20"/>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val="false"/>
        <w:pBdr>
          <w:bottom w:val="single" w:color="A1A1AA" w:sz="4" w:space="1"/>
        </w:pBdr>
        <w:spacing w:after="0" w:before="0" w:line="420"/>
      </w:pPr>
      <w:r>
        <w:rPr>
          <w:rFonts w:ascii="Arial" w:cs="Arial" w:eastAsia="Arial" w:hAnsi="Arial"/>
          <w:color w:val="1F2937"/>
          <w:sz w:val="22"/>
          <w:szCs w:val="22"/>
        </w:rPr>
        <w:t xml:space="preserve"> </w:t>
      </w:r>
    </w:p>
    <w:p>
      <w:pPr>
        <w:spacing w:after="40" w:before="0" w:line="276"/>
      </w:pPr>
      <w:r>
        <w:rPr>
          <w:rFonts w:ascii="Arial" w:cs="Arial" w:eastAsia="Arial" w:hAnsi="Arial"/>
          <w:color w:val="1F2937"/>
          <w:sz w:val="22"/>
          <w:szCs w:val="22"/>
        </w:rPr>
        <w:t xml:space="preserve"> </w:t>
      </w:r>
    </w:p>
    <w:p>
      <w:pPr>
        <w:keepNext/>
        <w:spacing w:after="40" w:before="200"/>
      </w:pPr>
      <w:r>
        <w:rPr>
          <w:rFonts w:ascii="Arial" w:cs="Arial" w:eastAsia="Arial" w:hAnsi="Arial"/>
          <w:b/>
          <w:bCs/>
          <w:color w:val="6D28D9"/>
          <w:sz w:val="22"/>
          <w:szCs w:val="22"/>
        </w:rPr>
        <w:t xml:space="preserve">7.3  </w:t>
      </w:r>
      <w:r>
        <w:rPr>
          <w:rFonts w:ascii="Arial" w:cs="Arial" w:eastAsia="Arial" w:hAnsi="Arial"/>
          <w:color w:val="1F2937"/>
          <w:sz w:val="22"/>
          <w:szCs w:val="22"/>
        </w:rPr>
        <w:t xml:space="preserve">Draw the three resonance forms of the Meisenheimer intermediate formed from 2,4-dinitrochlorobenzene and OH⁻, including one with the charge on a nitro oxygen.</w:t>
      </w:r>
      <w:r>
        <w:rPr>
          <w:rFonts w:ascii="Arial" w:cs="Arial" w:eastAsia="Arial" w:hAnsi="Arial"/>
          <w:b/>
          <w:bCs/>
          <w:color w:val="D97706"/>
          <w:sz w:val="20"/>
          <w:szCs w:val="20"/>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val="false"/>
        <w:pBdr>
          <w:bottom w:val="single" w:color="A1A1AA" w:sz="4" w:space="1"/>
        </w:pBdr>
        <w:spacing w:after="0" w:before="0" w:line="420"/>
      </w:pPr>
      <w:r>
        <w:rPr>
          <w:rFonts w:ascii="Arial" w:cs="Arial" w:eastAsia="Arial" w:hAnsi="Arial"/>
          <w:color w:val="1F2937"/>
          <w:sz w:val="22"/>
          <w:szCs w:val="22"/>
        </w:rPr>
        <w:t xml:space="preserve"> </w:t>
      </w:r>
    </w:p>
    <w:p>
      <w:pPr>
        <w:spacing w:after="40" w:before="0" w:line="276"/>
      </w:pPr>
      <w:r>
        <w:rPr>
          <w:rFonts w:ascii="Arial" w:cs="Arial" w:eastAsia="Arial" w:hAnsi="Arial"/>
          <w:color w:val="1F2937"/>
          <w:sz w:val="22"/>
          <w:szCs w:val="22"/>
        </w:rPr>
        <w:t xml:space="preserve"> </w:t>
      </w:r>
    </w:p>
    <w:tbl>
      <w:tblPr>
        <w:tblW w:type="dxa" w:w="9640"/>
        <w:tblBorders>
          <w:top w:val="single" w:color="CBD5E1" w:sz="8"/>
          <w:left w:val="single" w:color="CBD5E1" w:sz="8"/>
          <w:bottom w:val="single" w:color="CBD5E1" w:sz="8"/>
          <w:right w:val="single" w:color="CBD5E1" w:sz="8"/>
          <w:insideH w:val="single" w:color="CBD5E1" w:sz="8"/>
          <w:insideV w:val="single" w:color="CBD5E1" w:sz="8"/>
        </w:tblBorders>
      </w:tblPr>
      <w:tblGrid>
        <w:gridCol w:w="9640"/>
      </w:tblGrid>
      <w:tr>
        <w:trPr>
          <w:cantSplit/>
        </w:trPr>
        <w:tc>
          <w:tcPr>
            <w:tcW w:type="dxa" w:w="9640"/>
            <w:shd w:fill="F8FAFC" w:color="auto" w:val="clear"/>
            <w:tcMar>
              <w:top w:type="dxa" w:w="100"/>
              <w:left w:type="dxa" w:w="160"/>
              <w:bottom w:type="dxa" w:w="100"/>
              <w:right w:type="dxa" w:w="160"/>
            </w:tcMar>
          </w:tcPr>
          <w:p>
            <w:pPr>
              <w:spacing w:after="40" w:before="0" w:line="276"/>
            </w:pPr>
            <w:r>
              <w:rPr>
                <w:rFonts w:ascii="Arial" w:cs="Arial" w:eastAsia="Arial" w:hAnsi="Arial"/>
                <w:b/>
                <w:bCs/>
                <w:color w:val="6D28D9"/>
                <w:sz w:val="20"/>
                <w:szCs w:val="20"/>
              </w:rPr>
              <w:t xml:space="preserve">Reading for this section</w:t>
            </w:r>
          </w:p>
          <w:p>
            <w:pPr>
              <w:spacing w:after="20" w:before="20" w:line="276"/>
              <w:ind w:left="200" w:hanging="200"/>
            </w:pPr>
            <w:r>
              <w:rPr>
                <w:rFonts w:ascii="Arial" w:cs="Arial" w:eastAsia="Arial" w:hAnsi="Arial"/>
                <w:b/>
                <w:bCs/>
                <w:color w:val="6D28D9"/>
                <w:sz w:val="19"/>
                <w:szCs w:val="19"/>
              </w:rPr>
              <w:t xml:space="preserve">▸ </w:t>
            </w:r>
            <w:r>
              <w:rPr>
                <w:rFonts w:ascii="Arial" w:cs="Arial" w:eastAsia="Arial" w:hAnsi="Arial"/>
                <w:color w:val="1F2937"/>
                <w:sz w:val="19"/>
                <w:szCs w:val="19"/>
              </w:rPr>
              <w:t xml:space="preserve">Clayden ch. 22 'Nucleophilic aromatic substitution'</w:t>
            </w:r>
            <w:r>
              <w:rPr>
                <w:rFonts w:ascii="Arial" w:cs="Arial" w:eastAsia="Arial" w:hAnsi="Arial"/>
                <w:i/>
                <w:iCs/>
                <w:color w:val="4B5563"/>
                <w:sz w:val="19"/>
                <w:szCs w:val="19"/>
              </w:rPr>
              <w:t xml:space="preserve">  —  SNAr, benzyne and the labelling evidence</w:t>
            </w:r>
          </w:p>
          <w:p>
            <w:pPr>
              <w:spacing w:after="20" w:before="20" w:line="276"/>
              <w:ind w:left="200" w:hanging="200"/>
            </w:pPr>
            <w:r>
              <w:rPr>
                <w:rFonts w:ascii="Arial" w:cs="Arial" w:eastAsia="Arial" w:hAnsi="Arial"/>
                <w:b/>
                <w:bCs/>
                <w:color w:val="6D28D9"/>
                <w:sz w:val="19"/>
                <w:szCs w:val="19"/>
              </w:rPr>
              <w:t xml:space="preserve">▸ </w:t>
            </w:r>
            <w:r>
              <w:rPr>
                <w:rFonts w:ascii="Arial" w:cs="Arial" w:eastAsia="Arial" w:hAnsi="Arial"/>
                <w:color w:val="1F2937"/>
                <w:sz w:val="19"/>
                <w:szCs w:val="19"/>
              </w:rPr>
              <w:t xml:space="preserve">J. D. Roberts et al., J. Am. Chem. Soc. 1953, 75, 3290</w:t>
            </w:r>
            <w:r>
              <w:rPr>
                <w:rFonts w:ascii="Arial" w:cs="Arial" w:eastAsia="Arial" w:hAnsi="Arial"/>
                <w:i/>
                <w:iCs/>
                <w:color w:val="4B5563"/>
                <w:sz w:val="19"/>
                <w:szCs w:val="19"/>
              </w:rPr>
              <w:t xml:space="preserve">  —  the ¹⁴C experiment that discovered benzyne — short and readable</w:t>
            </w:r>
          </w:p>
        </w:tc>
      </w:tr>
    </w:tbl>
    <w:p>
      <w:pPr>
        <w:spacing w:after="40" w:before="0" w:line="276"/>
      </w:pPr>
      <w:r>
        <w:rPr>
          <w:rFonts w:ascii="Arial" w:cs="Arial" w:eastAsia="Arial" w:hAnsi="Arial"/>
          <w:color w:val="1F2937"/>
          <w:sz w:val="22"/>
          <w:szCs w:val="22"/>
        </w:rPr>
        <w:t xml:space="preserve"> </w:t>
      </w:r>
    </w:p>
    <w:p>
      <w:pPr>
        <w:pageBreakBefore/>
        <w:spacing w:after="0" w:before="0" w:line="20"/>
      </w:pPr>
      <w:r>
        <w:rPr>
          <w:sz w:val="2"/>
          <w:szCs w:val="2"/>
        </w:rPr>
        <w:t xml:space="preserve"/>
      </w:r>
    </w:p>
    <w:p>
      <w:pPr>
        <w:spacing w:after="100" w:before="1400" w:line="276"/>
      </w:pPr>
      <w:r>
        <w:rPr>
          <w:rFonts w:ascii="Arial" w:cs="Arial" w:eastAsia="Arial" w:hAnsi="Arial"/>
          <w:color w:val="1F2937"/>
          <w:sz w:val="22"/>
          <w:szCs w:val="22"/>
        </w:rPr>
        <w:t xml:space="preserve"> </w:t>
      </w:r>
    </w:p>
    <w:p>
      <w:pPr>
        <w:spacing w:after="40" w:before="60" w:line="276"/>
        <w:jc w:val="center"/>
      </w:pPr>
      <w:r>
        <w:rPr>
          <w:rFonts w:ascii="Arial" w:cs="Arial" w:eastAsia="Arial" w:hAnsi="Arial"/>
          <w:b/>
          <w:bCs/>
          <w:color w:val="312E81"/>
          <w:sz w:val="72"/>
          <w:szCs w:val="72"/>
        </w:rPr>
        <w:t xml:space="preserve">Part B</w:t>
      </w:r>
    </w:p>
    <w:p>
      <w:pPr>
        <w:spacing w:after="300" w:before="60" w:line="276"/>
        <w:jc w:val="center"/>
      </w:pPr>
      <w:r>
        <w:rPr>
          <w:rFonts w:ascii="Arial" w:cs="Arial" w:eastAsia="Arial" w:hAnsi="Arial"/>
          <w:color w:val="312E81"/>
          <w:sz w:val="34"/>
          <w:szCs w:val="34"/>
        </w:rPr>
        <w:t xml:space="preserve">Second-year undergraduate level</w:t>
      </w:r>
    </w:p>
    <w:tbl>
      <w:tblPr>
        <w:tblW w:type="dxa" w:w="9640"/>
        <w:tblBorders>
          <w:top w:val="single" w:color="6366F1" w:sz="8"/>
          <w:left w:val="single" w:color="6366F1" w:sz="8"/>
          <w:bottom w:val="single" w:color="6366F1" w:sz="8"/>
          <w:right w:val="single" w:color="6366F1" w:sz="8"/>
          <w:insideH w:val="single" w:color="6366F1" w:sz="8"/>
          <w:insideV w:val="single" w:color="6366F1" w:sz="8"/>
        </w:tblBorders>
      </w:tblPr>
      <w:tblGrid>
        <w:gridCol w:w="9640"/>
      </w:tblGrid>
      <w:tr>
        <w:trPr>
          <w:cantSplit/>
        </w:trPr>
        <w:tc>
          <w:tcPr>
            <w:tcW w:type="dxa" w:w="9640"/>
            <w:shd w:fill="E0E7FF" w:color="auto" w:val="clear"/>
            <w:tcMar>
              <w:top w:type="dxa" w:w="100"/>
              <w:left w:type="dxa" w:w="160"/>
              <w:bottom w:type="dxa" w:w="100"/>
              <w:right w:type="dxa" w:w="160"/>
            </w:tcMar>
          </w:tcPr>
          <w:p>
            <w:pPr>
              <w:spacing w:after="120" w:before="0" w:line="276"/>
            </w:pPr>
            <w:r>
              <w:rPr>
                <w:rFonts w:ascii="Arial" w:cs="Arial" w:eastAsia="Arial" w:hAnsi="Arial"/>
                <w:color w:val="1F2937"/>
                <w:sz w:val="22"/>
                <w:szCs w:val="22"/>
              </w:rPr>
              <w:t xml:space="preserve">The tools used in second-year courses and beyond: Hückel MO calculations, Hammett linear free-energy relationships, kinetics and isotope effects, synthesis with blocking and directing groups, heterocycles, spectroscopy and modern definitions of aromaticity. Problems marked ★★ (★★★ = open-ended).</w:t>
            </w:r>
          </w:p>
          <w:p>
            <w:pPr>
              <w:spacing w:after="60" w:before="60" w:line="276"/>
            </w:pPr>
            <w:r>
              <w:rPr>
                <w:rFonts w:ascii="Arial" w:cs="Arial" w:eastAsia="Arial" w:hAnsi="Arial"/>
                <w:b/>
                <w:bCs/>
                <w:color w:val="312E81"/>
                <w:sz w:val="24"/>
                <w:szCs w:val="24"/>
              </w:rPr>
              <w:t xml:space="preserve">Sections</w:t>
            </w:r>
          </w:p>
          <w:p>
            <w:pPr>
              <w:spacing w:after="20" w:before="20" w:line="276"/>
            </w:pPr>
            <w:r>
              <w:rPr>
                <w:rFonts w:ascii="Arial" w:cs="Arial" w:eastAsia="Arial" w:hAnsi="Arial"/>
                <w:b/>
                <w:bCs/>
                <w:color w:val="312E81"/>
                <w:sz w:val="21"/>
                <w:szCs w:val="21"/>
              </w:rPr>
              <w:t xml:space="preserve">8.  </w:t>
            </w:r>
            <w:r>
              <w:rPr>
                <w:rFonts w:ascii="Arial" w:cs="Arial" w:eastAsia="Arial" w:hAnsi="Arial"/>
                <w:color w:val="1F2937"/>
                <w:sz w:val="21"/>
                <w:szCs w:val="21"/>
              </w:rPr>
              <w:t xml:space="preserve">Hückel molecular orbital theory — with numbers</w:t>
            </w:r>
          </w:p>
          <w:p>
            <w:pPr>
              <w:spacing w:after="20" w:before="20" w:line="276"/>
            </w:pPr>
            <w:r>
              <w:rPr>
                <w:rFonts w:ascii="Arial" w:cs="Arial" w:eastAsia="Arial" w:hAnsi="Arial"/>
                <w:b/>
                <w:bCs/>
                <w:color w:val="312E81"/>
                <w:sz w:val="21"/>
                <w:szCs w:val="21"/>
              </w:rPr>
              <w:t xml:space="preserve">9.  </w:t>
            </w:r>
            <w:r>
              <w:rPr>
                <w:rFonts w:ascii="Arial" w:cs="Arial" w:eastAsia="Arial" w:hAnsi="Arial"/>
                <w:color w:val="1F2937"/>
                <w:sz w:val="21"/>
                <w:szCs w:val="21"/>
              </w:rPr>
              <w:t xml:space="preserve">Linear free-energy relationships: the Hammett equation</w:t>
            </w:r>
          </w:p>
          <w:p>
            <w:pPr>
              <w:spacing w:after="20" w:before="20" w:line="276"/>
            </w:pPr>
            <w:r>
              <w:rPr>
                <w:rFonts w:ascii="Arial" w:cs="Arial" w:eastAsia="Arial" w:hAnsi="Arial"/>
                <w:b/>
                <w:bCs/>
                <w:color w:val="312E81"/>
                <w:sz w:val="21"/>
                <w:szCs w:val="21"/>
              </w:rPr>
              <w:t xml:space="preserve">10.  </w:t>
            </w:r>
            <w:r>
              <w:rPr>
                <w:rFonts w:ascii="Arial" w:cs="Arial" w:eastAsia="Arial" w:hAnsi="Arial"/>
                <w:color w:val="1F2937"/>
                <w:sz w:val="21"/>
                <w:szCs w:val="21"/>
              </w:rPr>
              <w:t xml:space="preserve">Electrophilic substitution at research depth</w:t>
            </w:r>
          </w:p>
          <w:p>
            <w:pPr>
              <w:spacing w:after="20" w:before="20" w:line="276"/>
            </w:pPr>
            <w:r>
              <w:rPr>
                <w:rFonts w:ascii="Arial" w:cs="Arial" w:eastAsia="Arial" w:hAnsi="Arial"/>
                <w:b/>
                <w:bCs/>
                <w:color w:val="312E81"/>
                <w:sz w:val="21"/>
                <w:szCs w:val="21"/>
              </w:rPr>
              <w:t xml:space="preserve">11.  </w:t>
            </w:r>
            <w:r>
              <w:rPr>
                <w:rFonts w:ascii="Arial" w:cs="Arial" w:eastAsia="Arial" w:hAnsi="Arial"/>
                <w:color w:val="1F2937"/>
                <w:sz w:val="21"/>
                <w:szCs w:val="21"/>
              </w:rPr>
              <w:t xml:space="preserve">Regioselectivity, blocking groups and diazonium chemistry</w:t>
            </w:r>
          </w:p>
          <w:p>
            <w:pPr>
              <w:spacing w:after="20" w:before="20" w:line="276"/>
            </w:pPr>
            <w:r>
              <w:rPr>
                <w:rFonts w:ascii="Arial" w:cs="Arial" w:eastAsia="Arial" w:hAnsi="Arial"/>
                <w:b/>
                <w:bCs/>
                <w:color w:val="312E81"/>
                <w:sz w:val="21"/>
                <w:szCs w:val="21"/>
              </w:rPr>
              <w:t xml:space="preserve">12.  </w:t>
            </w:r>
            <w:r>
              <w:rPr>
                <w:rFonts w:ascii="Arial" w:cs="Arial" w:eastAsia="Arial" w:hAnsi="Arial"/>
                <w:color w:val="1F2937"/>
                <w:sz w:val="21"/>
                <w:szCs w:val="21"/>
              </w:rPr>
              <w:t xml:space="preserve">Named reactions and rearrangements of aromatic compounds</w:t>
            </w:r>
          </w:p>
          <w:p>
            <w:pPr>
              <w:spacing w:after="20" w:before="20" w:line="276"/>
            </w:pPr>
            <w:r>
              <w:rPr>
                <w:rFonts w:ascii="Arial" w:cs="Arial" w:eastAsia="Arial" w:hAnsi="Arial"/>
                <w:b/>
                <w:bCs/>
                <w:color w:val="312E81"/>
                <w:sz w:val="21"/>
                <w:szCs w:val="21"/>
              </w:rPr>
              <w:t xml:space="preserve">13.  </w:t>
            </w:r>
            <w:r>
              <w:rPr>
                <w:rFonts w:ascii="Arial" w:cs="Arial" w:eastAsia="Arial" w:hAnsi="Arial"/>
                <w:color w:val="1F2937"/>
                <w:sz w:val="21"/>
                <w:szCs w:val="21"/>
              </w:rPr>
              <w:t xml:space="preserve">Making aromatic bonds the modern way: SNAr in depth, benzyne, cross-coupling and directed metalation</w:t>
            </w:r>
          </w:p>
          <w:p>
            <w:pPr>
              <w:spacing w:after="20" w:before="20" w:line="276"/>
            </w:pPr>
            <w:r>
              <w:rPr>
                <w:rFonts w:ascii="Arial" w:cs="Arial" w:eastAsia="Arial" w:hAnsi="Arial"/>
                <w:b/>
                <w:bCs/>
                <w:color w:val="312E81"/>
                <w:sz w:val="21"/>
                <w:szCs w:val="21"/>
              </w:rPr>
              <w:t xml:space="preserve">14.  </w:t>
            </w:r>
            <w:r>
              <w:rPr>
                <w:rFonts w:ascii="Arial" w:cs="Arial" w:eastAsia="Arial" w:hAnsi="Arial"/>
                <w:color w:val="1F2937"/>
                <w:sz w:val="21"/>
                <w:szCs w:val="21"/>
              </w:rPr>
              <w:t xml:space="preserve">Aromatic heterocycles</w:t>
            </w:r>
          </w:p>
          <w:p>
            <w:pPr>
              <w:spacing w:after="20" w:before="20" w:line="276"/>
            </w:pPr>
            <w:r>
              <w:rPr>
                <w:rFonts w:ascii="Arial" w:cs="Arial" w:eastAsia="Arial" w:hAnsi="Arial"/>
                <w:b/>
                <w:bCs/>
                <w:color w:val="312E81"/>
                <w:sz w:val="21"/>
                <w:szCs w:val="21"/>
              </w:rPr>
              <w:t xml:space="preserve">15.  </w:t>
            </w:r>
            <w:r>
              <w:rPr>
                <w:rFonts w:ascii="Arial" w:cs="Arial" w:eastAsia="Arial" w:hAnsi="Arial"/>
                <w:color w:val="1F2937"/>
                <w:sz w:val="21"/>
                <w:szCs w:val="21"/>
              </w:rPr>
              <w:t xml:space="preserve">Spectroscopy of aromatic rings</w:t>
            </w:r>
          </w:p>
          <w:p>
            <w:pPr>
              <w:spacing w:after="20" w:before="20" w:line="276"/>
            </w:pPr>
            <w:r>
              <w:rPr>
                <w:rFonts w:ascii="Arial" w:cs="Arial" w:eastAsia="Arial" w:hAnsi="Arial"/>
                <w:b/>
                <w:bCs/>
                <w:color w:val="312E81"/>
                <w:sz w:val="21"/>
                <w:szCs w:val="21"/>
              </w:rPr>
              <w:t xml:space="preserve">16.  </w:t>
            </w:r>
            <w:r>
              <w:rPr>
                <w:rFonts w:ascii="Arial" w:cs="Arial" w:eastAsia="Arial" w:hAnsi="Arial"/>
                <w:color w:val="1F2937"/>
                <w:sz w:val="21"/>
                <w:szCs w:val="21"/>
              </w:rPr>
              <w:t xml:space="preserve">Frontiers: what 'aromatic' means today</w:t>
            </w:r>
          </w:p>
        </w:tc>
      </w:tr>
    </w:tbl>
    <w:p>
      <w:pPr>
        <w:pageBreakBefore/>
        <w:spacing w:after="0" w:before="0" w:line="20"/>
      </w:pPr>
      <w:r>
        <w:rPr>
          <w:sz w:val="2"/>
          <w:szCs w:val="2"/>
        </w:rPr>
        <w:t xml:space="preserve"/>
      </w:r>
    </w:p>
    <w:tbl>
      <w:tblPr>
        <w:tblW w:type="dxa" w:w="9640"/>
        <w:tblBorders>
          <w:top w:val="none" w:color="FFFFFF" w:sz="0"/>
          <w:left w:val="none" w:color="FFFFFF" w:sz="0"/>
          <w:bottom w:val="none" w:color="FFFFFF" w:sz="0"/>
          <w:right w:val="none" w:color="FFFFFF" w:sz="0"/>
          <w:insideH w:val="none" w:color="FFFFFF" w:sz="0"/>
          <w:insideV w:val="none" w:color="FFFFFF" w:sz="0"/>
        </w:tblBorders>
      </w:tblPr>
      <w:tblGrid>
        <w:gridCol w:w="9640"/>
      </w:tblGrid>
      <w:tr>
        <w:trPr>
          <w:cantSplit/>
        </w:trPr>
        <w:tc>
          <w:tcPr>
            <w:tcW w:type="dxa" w:w="9640"/>
            <w:shd w:fill="312E81" w:color="auto" w:val="clear"/>
            <w:tcMar>
              <w:top w:type="dxa" w:w="160"/>
              <w:left w:type="dxa" w:w="240"/>
              <w:bottom w:type="dxa" w:w="160"/>
              <w:right w:type="dxa" w:w="240"/>
            </w:tcMar>
          </w:tcPr>
          <w:p>
            <w:pPr>
              <w:tabs>
                <w:tab w:val="right" w:pos="9160"/>
              </w:tabs>
              <w:spacing w:after="0" w:before="0" w:line="276"/>
            </w:pPr>
            <w:r>
              <w:rPr>
                <w:rFonts w:ascii="Arial" w:cs="Arial" w:eastAsia="Arial" w:hAnsi="Arial"/>
                <w:b/>
                <w:bCs/>
                <w:color w:val="FFFFFF"/>
                <w:sz w:val="22"/>
                <w:szCs w:val="22"/>
              </w:rPr>
              <w:t xml:space="preserve">Section 8</w:t>
            </w:r>
            <w:r>
              <w:rPr>
                <w:rFonts w:ascii="Arial" w:cs="Arial" w:eastAsia="Arial" w:hAnsi="Arial"/>
                <w:b/>
                <w:bCs/>
                <w:color w:val="FFFFFF"/>
                <w:sz w:val="18"/>
                <w:szCs w:val="18"/>
              </w:rPr>
              <w:t xml:space="preserve">	PART B · SECOND-YEAR UNDERGRADUATE LEVEL</w:t>
            </w:r>
          </w:p>
          <w:p>
            <w:pPr>
              <w:spacing w:after="40" w:before="40" w:line="276"/>
            </w:pPr>
            <w:r>
              <w:rPr>
                <w:rFonts w:ascii="Arial" w:cs="Arial" w:eastAsia="Arial" w:hAnsi="Arial"/>
                <w:b/>
                <w:bCs/>
                <w:color w:val="FFFFFF"/>
                <w:sz w:val="32"/>
                <w:szCs w:val="32"/>
              </w:rPr>
              <w:t xml:space="preserve">Hückel molecular orbital theory — with numbers</w:t>
            </w:r>
          </w:p>
          <w:p>
            <w:pPr>
              <w:spacing w:after="0" w:before="0" w:line="276"/>
            </w:pPr>
            <w:r>
              <w:rPr>
                <w:rFonts w:ascii="Arial" w:cs="Arial" w:eastAsia="Arial" w:hAnsi="Arial"/>
                <w:i/>
                <w:iCs/>
                <w:color w:val="F5F3FF"/>
                <w:sz w:val="21"/>
                <w:szCs w:val="21"/>
              </w:rPr>
              <w:t xml:space="preserve">Frost circles are a picture; HMO theory is the calculation behind them. Second-year chemists compute π energies, delocalisation energies and HOMO–LUMO gaps by hand.</w:t>
            </w:r>
          </w:p>
        </w:tc>
      </w:tr>
    </w:tbl>
    <w:p>
      <w:pPr>
        <w:spacing w:after="40" w:before="0" w:line="276"/>
      </w:pPr>
      <w:r>
        <w:rPr>
          <w:rFonts w:ascii="Arial" w:cs="Arial" w:eastAsia="Arial" w:hAnsi="Arial"/>
          <w:color w:val="1F2937"/>
          <w:sz w:val="22"/>
          <w:szCs w:val="22"/>
        </w:rPr>
        <w:t xml:space="preserve"> </w:t>
      </w:r>
    </w:p>
    <w:tbl>
      <w:tblPr>
        <w:tblW w:type="dxa" w:w="9640"/>
        <w:tblBorders>
          <w:top w:val="single" w:color="14B8A6" w:sz="8"/>
          <w:left w:val="single" w:color="14B8A6" w:sz="8"/>
          <w:bottom w:val="single" w:color="14B8A6" w:sz="8"/>
          <w:right w:val="single" w:color="14B8A6" w:sz="8"/>
          <w:insideH w:val="single" w:color="14B8A6" w:sz="8"/>
          <w:insideV w:val="single" w:color="14B8A6" w:sz="8"/>
        </w:tblBorders>
      </w:tblPr>
      <w:tblGrid>
        <w:gridCol w:w="9640"/>
      </w:tblGrid>
      <w:tr>
        <w:trPr>
          <w:cantSplit/>
        </w:trPr>
        <w:tc>
          <w:tcPr>
            <w:tcW w:type="dxa" w:w="9640"/>
            <w:shd w:fill="CCFBF1" w:color="auto" w:val="clear"/>
            <w:tcMar>
              <w:top w:type="dxa" w:w="100"/>
              <w:left w:type="dxa" w:w="160"/>
              <w:bottom w:type="dxa" w:w="100"/>
              <w:right w:type="dxa" w:w="160"/>
            </w:tcMar>
          </w:tcPr>
          <w:p>
            <w:pPr>
              <w:spacing w:after="40" w:before="0" w:line="276"/>
            </w:pPr>
            <w:r>
              <w:rPr>
                <w:rFonts w:ascii="Arial" w:cs="Arial" w:eastAsia="Arial" w:hAnsi="Arial"/>
                <w:b/>
                <w:bCs/>
                <w:color w:val="0F766E"/>
                <w:sz w:val="22"/>
                <w:szCs w:val="22"/>
              </w:rPr>
              <w:t xml:space="preserve">Key facts</w:t>
            </w:r>
          </w:p>
          <w:p>
            <w:pPr>
              <w:spacing w:after="20" w:before="20" w:line="276"/>
            </w:pPr>
            <w:r>
              <w:rPr>
                <w:rFonts w:ascii="Arial" w:cs="Arial" w:eastAsia="Arial" w:hAnsi="Arial"/>
                <w:color w:val="1F2937"/>
                <w:sz w:val="21"/>
                <w:szCs w:val="21"/>
              </w:rPr>
              <w:t xml:space="preserve">•  Hückel approximation: each carbon contributes one p-orbital; Coulomb integral α (energy of an electron in an isolated p-orbital) and resonance integral β (interaction between adjacent p-orbitals; β &lt; 0). Non-adjacent interactions and overlap are set to zero.</w:t>
            </w:r>
          </w:p>
          <w:p>
            <w:pPr>
              <w:spacing w:after="20" w:before="20" w:line="276"/>
            </w:pPr>
            <w:r>
              <w:rPr>
                <w:rFonts w:ascii="Arial" w:cs="Arial" w:eastAsia="Arial" w:hAnsi="Arial"/>
                <w:color w:val="1F2937"/>
                <w:sz w:val="21"/>
                <w:szCs w:val="21"/>
              </w:rPr>
              <w:t xml:space="preserve">•  For a monocyclic conjugated ring of n atoms the π orbital energies are Eₖ = α + 2β cos(2πk/n), k = 0, ±1, ±2, … — this IS the Frost circle: the cosine puts the levels on a circle of radius 2|β|.</w:t>
            </w:r>
          </w:p>
          <w:p>
            <w:pPr>
              <w:spacing w:after="20" w:before="20" w:line="276"/>
            </w:pPr>
            <w:r>
              <w:rPr>
                <w:rFonts w:ascii="Arial" w:cs="Arial" w:eastAsia="Arial" w:hAnsi="Arial"/>
                <w:color w:val="1F2937"/>
                <w:sz w:val="21"/>
                <w:szCs w:val="21"/>
              </w:rPr>
              <w:t xml:space="preserve">•  Benzene: E = α + 2β (k = 0), α + β (k = ±1, degenerate), α − β (k = ±2), α − 2β (k = 3). Six electrons fill the three bonding orbitals: Eπ = 2(α + 2β) + 4(α + β) = 6α + 8β.</w:t>
            </w:r>
          </w:p>
          <w:p>
            <w:pPr>
              <w:spacing w:after="20" w:before="20" w:line="276"/>
            </w:pPr>
            <w:r>
              <w:rPr>
                <w:rFonts w:ascii="Arial" w:cs="Arial" w:eastAsia="Arial" w:hAnsi="Arial"/>
                <w:color w:val="1F2937"/>
                <w:sz w:val="21"/>
                <w:szCs w:val="21"/>
              </w:rPr>
              <w:t xml:space="preserve">•  Three isolated C=C bonds (ethene: 2α + 2β each) give 6α + 6β, so the DELOCALISATION ENERGY of benzene is 2β. Fitting to the hydrogenation data (152 kJ mol⁻¹) gives β ≈ −76 kJ mol⁻¹; spectroscopic estimates of β are larger (≈ −250 kJ mol⁻¹) — β is a parameter of a model, not a constant of nature.</w:t>
            </w:r>
          </w:p>
          <w:p>
            <w:pPr>
              <w:spacing w:after="20" w:before="20" w:line="276"/>
            </w:pPr>
            <w:r>
              <w:rPr>
                <w:rFonts w:ascii="Arial" w:cs="Arial" w:eastAsia="Arial" w:hAnsi="Arial"/>
                <w:color w:val="1F2937"/>
                <w:sz w:val="21"/>
                <w:szCs w:val="21"/>
              </w:rPr>
              <w:t xml:space="preserve">•  HOMO–LUMO gap: benzene 2|β| (absorbs in the UV). As conjugation extends the gap shrinks: naphthalene 1.24|β|, anthracene 0.83|β|, tetracene 0.59|β| (orange), pentacene 0.44|β| (blue-violet). Colour appears when the gap falls into the visible.</w:t>
            </w:r>
          </w:p>
        </w:tc>
      </w:tr>
    </w:tbl>
    <w:tbl>
      <w:tblPr>
        <w:tblW w:type="dxa" w:w="9640"/>
        <w:tblBorders>
          <w:top w:val="single" w:color="CBD5E1" w:sz="6"/>
          <w:left w:val="single" w:color="CBD5E1" w:sz="6"/>
          <w:bottom w:val="single" w:color="CBD5E1" w:sz="6"/>
          <w:right w:val="single" w:color="CBD5E1" w:sz="6"/>
          <w:insideH w:val="single" w:color="CBD5E1" w:sz="6"/>
          <w:insideV w:val="single" w:color="CBD5E1" w:sz="6"/>
        </w:tblBorders>
      </w:tblPr>
      <w:tblGrid>
        <w:gridCol w:w="1151"/>
        <w:gridCol w:w="2734"/>
        <w:gridCol w:w="1511"/>
        <w:gridCol w:w="1295"/>
        <w:gridCol w:w="1727"/>
        <w:gridCol w:w="1223"/>
      </w:tblGrid>
      <w:tr>
        <w:trPr>
          <w:tblHeader/>
        </w:trPr>
        <w:tc>
          <w:tcPr>
            <w:tcW w:type="dxa" w:w="1151"/>
            <w:shd w:fill="312E81" w:color="auto" w:val="clear"/>
            <w:tcMar>
              <w:top w:type="dxa" w:w="60"/>
              <w:left w:type="dxa" w:w="100"/>
              <w:bottom w:type="dxa" w:w="60"/>
              <w:right w:type="dxa" w:w="100"/>
            </w:tcMar>
            <w:vAlign w:val="center"/>
          </w:tcPr>
          <w:p>
            <w:pPr>
              <w:spacing w:after="0" w:before="0" w:line="276"/>
            </w:pPr>
            <w:r>
              <w:rPr>
                <w:rFonts w:ascii="Arial" w:cs="Arial" w:eastAsia="Arial" w:hAnsi="Arial"/>
                <w:b/>
                <w:bCs/>
                <w:color w:val="FFFFFF"/>
                <w:sz w:val="20"/>
                <w:szCs w:val="20"/>
              </w:rPr>
              <w:t xml:space="preserve">n (ring size)</w:t>
            </w:r>
          </w:p>
        </w:tc>
        <w:tc>
          <w:tcPr>
            <w:tcW w:type="dxa" w:w="2734"/>
            <w:shd w:fill="312E81" w:color="auto" w:val="clear"/>
            <w:tcMar>
              <w:top w:type="dxa" w:w="60"/>
              <w:left w:type="dxa" w:w="100"/>
              <w:bottom w:type="dxa" w:w="60"/>
              <w:right w:type="dxa" w:w="100"/>
            </w:tcMar>
            <w:vAlign w:val="center"/>
          </w:tcPr>
          <w:p>
            <w:pPr>
              <w:spacing w:after="0" w:before="0" w:line="276"/>
            </w:pPr>
            <w:r>
              <w:rPr>
                <w:rFonts w:ascii="Arial" w:cs="Arial" w:eastAsia="Arial" w:hAnsi="Arial"/>
                <w:b/>
                <w:bCs/>
                <w:color w:val="FFFFFF"/>
                <w:sz w:val="20"/>
                <w:szCs w:val="20"/>
              </w:rPr>
              <w:t xml:space="preserve">Orbital energies (α + xβ), x =</w:t>
            </w:r>
          </w:p>
        </w:tc>
        <w:tc>
          <w:tcPr>
            <w:tcW w:type="dxa" w:w="1511"/>
            <w:shd w:fill="312E81" w:color="auto" w:val="clear"/>
            <w:tcMar>
              <w:top w:type="dxa" w:w="60"/>
              <w:left w:type="dxa" w:w="100"/>
              <w:bottom w:type="dxa" w:w="60"/>
              <w:right w:type="dxa" w:w="100"/>
            </w:tcMar>
            <w:vAlign w:val="center"/>
          </w:tcPr>
          <w:p>
            <w:pPr>
              <w:spacing w:after="0" w:before="0" w:line="276"/>
            </w:pPr>
            <w:r>
              <w:rPr>
                <w:rFonts w:ascii="Arial" w:cs="Arial" w:eastAsia="Arial" w:hAnsi="Arial"/>
                <w:b/>
                <w:bCs/>
                <w:color w:val="FFFFFF"/>
                <w:sz w:val="20"/>
                <w:szCs w:val="20"/>
              </w:rPr>
              <w:t xml:space="preserve">Electrons (species)</w:t>
            </w:r>
          </w:p>
        </w:tc>
        <w:tc>
          <w:tcPr>
            <w:tcW w:type="dxa" w:w="1295"/>
            <w:shd w:fill="312E81" w:color="auto" w:val="clear"/>
            <w:tcMar>
              <w:top w:type="dxa" w:w="60"/>
              <w:left w:type="dxa" w:w="100"/>
              <w:bottom w:type="dxa" w:w="60"/>
              <w:right w:type="dxa" w:w="100"/>
            </w:tcMar>
            <w:vAlign w:val="center"/>
          </w:tcPr>
          <w:p>
            <w:pPr>
              <w:spacing w:after="0" w:before="0" w:line="276"/>
            </w:pPr>
            <w:r>
              <w:rPr>
                <w:rFonts w:ascii="Arial" w:cs="Arial" w:eastAsia="Arial" w:hAnsi="Arial"/>
                <w:b/>
                <w:bCs/>
                <w:color w:val="FFFFFF"/>
                <w:sz w:val="20"/>
                <w:szCs w:val="20"/>
              </w:rPr>
              <w:t xml:space="preserve">Eπ</w:t>
            </w:r>
          </w:p>
        </w:tc>
        <w:tc>
          <w:tcPr>
            <w:tcW w:type="dxa" w:w="1727"/>
            <w:shd w:fill="312E81" w:color="auto" w:val="clear"/>
            <w:tcMar>
              <w:top w:type="dxa" w:w="60"/>
              <w:left w:type="dxa" w:w="100"/>
              <w:bottom w:type="dxa" w:w="60"/>
              <w:right w:type="dxa" w:w="100"/>
            </w:tcMar>
            <w:vAlign w:val="center"/>
          </w:tcPr>
          <w:p>
            <w:pPr>
              <w:spacing w:after="0" w:before="0" w:line="276"/>
            </w:pPr>
            <w:r>
              <w:rPr>
                <w:rFonts w:ascii="Arial" w:cs="Arial" w:eastAsia="Arial" w:hAnsi="Arial"/>
                <w:b/>
                <w:bCs/>
                <w:color w:val="FFFFFF"/>
                <w:sz w:val="20"/>
                <w:szCs w:val="20"/>
              </w:rPr>
              <w:t xml:space="preserve">Reference</w:t>
            </w:r>
          </w:p>
        </w:tc>
        <w:tc>
          <w:tcPr>
            <w:tcW w:type="dxa" w:w="1223"/>
            <w:shd w:fill="312E81" w:color="auto" w:val="clear"/>
            <w:tcMar>
              <w:top w:type="dxa" w:w="60"/>
              <w:left w:type="dxa" w:w="100"/>
              <w:bottom w:type="dxa" w:w="60"/>
              <w:right w:type="dxa" w:w="100"/>
            </w:tcMar>
            <w:vAlign w:val="center"/>
          </w:tcPr>
          <w:p>
            <w:pPr>
              <w:spacing w:after="0" w:before="0" w:line="276"/>
            </w:pPr>
            <w:r>
              <w:rPr>
                <w:rFonts w:ascii="Arial" w:cs="Arial" w:eastAsia="Arial" w:hAnsi="Arial"/>
                <w:b/>
                <w:bCs/>
                <w:color w:val="FFFFFF"/>
                <w:sz w:val="20"/>
                <w:szCs w:val="20"/>
              </w:rPr>
              <w:t xml:space="preserve">Delocalisation energy</w:t>
            </w:r>
          </w:p>
        </w:tc>
      </w:tr>
      <w:tr>
        <w:tc>
          <w:tcPr>
            <w:tcW w:type="dxa" w:w="1151"/>
            <w:shd w:fill="F1F5F9" w:color="auto" w:val="clear"/>
            <w:tcMar>
              <w:top w:type="dxa" w:w="60"/>
              <w:left w:type="dxa" w:w="100"/>
              <w:bottom w:type="dxa" w:w="60"/>
              <w:right w:type="dxa" w:w="100"/>
            </w:tcMar>
            <w:vAlign w:val="center"/>
          </w:tcPr>
          <w:p>
            <w:pPr>
              <w:spacing w:after="0" w:before="0" w:line="276"/>
            </w:pPr>
            <w:r>
              <w:rPr>
                <w:rFonts w:ascii="Arial" w:cs="Arial" w:eastAsia="Arial" w:hAnsi="Arial"/>
                <w:b/>
                <w:bCs/>
                <w:color w:val="1F2937"/>
                <w:sz w:val="20"/>
                <w:szCs w:val="20"/>
              </w:rPr>
              <w:t xml:space="preserve">3</w:t>
            </w:r>
          </w:p>
        </w:tc>
        <w:tc>
          <w:tcPr>
            <w:tcW w:type="dxa" w:w="2734"/>
            <w:shd w:fill="FFFFFF" w:color="auto" w:val="clear"/>
            <w:tcMar>
              <w:top w:type="dxa" w:w="60"/>
              <w:left w:type="dxa" w:w="100"/>
              <w:bottom w:type="dxa" w:w="60"/>
              <w:right w:type="dxa" w:w="100"/>
            </w:tcMar>
            <w:vAlign w:val="center"/>
          </w:tcPr>
          <w:p>
            <w:pPr>
              <w:spacing w:after="0" w:before="0" w:line="276"/>
            </w:pPr>
            <w:r>
              <w:rPr>
                <w:rFonts w:ascii="Arial" w:cs="Arial" w:eastAsia="Arial" w:hAnsi="Arial"/>
                <w:b w:val="false"/>
                <w:bCs w:val="false"/>
                <w:color w:val="1F2937"/>
                <w:sz w:val="20"/>
                <w:szCs w:val="20"/>
              </w:rPr>
              <w:t xml:space="preserve">+2, −1, −1</w:t>
            </w:r>
          </w:p>
        </w:tc>
        <w:tc>
          <w:tcPr>
            <w:tcW w:type="dxa" w:w="1511"/>
            <w:shd w:fill="FFFFFF" w:color="auto" w:val="clear"/>
            <w:tcMar>
              <w:top w:type="dxa" w:w="60"/>
              <w:left w:type="dxa" w:w="100"/>
              <w:bottom w:type="dxa" w:w="60"/>
              <w:right w:type="dxa" w:w="100"/>
            </w:tcMar>
            <w:vAlign w:val="center"/>
          </w:tcPr>
          <w:p>
            <w:pPr>
              <w:spacing w:after="0" w:before="0" w:line="276"/>
            </w:pPr>
            <w:r>
              <w:rPr>
                <w:rFonts w:ascii="Arial" w:cs="Arial" w:eastAsia="Arial" w:hAnsi="Arial"/>
                <w:b w:val="false"/>
                <w:bCs w:val="false"/>
                <w:color w:val="1F2937"/>
                <w:sz w:val="20"/>
                <w:szCs w:val="20"/>
              </w:rPr>
              <w:t xml:space="preserve">2 (C₃H₃⁺)</w:t>
            </w:r>
          </w:p>
        </w:tc>
        <w:tc>
          <w:tcPr>
            <w:tcW w:type="dxa" w:w="1295"/>
            <w:shd w:fill="FFFFFF" w:color="auto" w:val="clear"/>
            <w:tcMar>
              <w:top w:type="dxa" w:w="60"/>
              <w:left w:type="dxa" w:w="100"/>
              <w:bottom w:type="dxa" w:w="60"/>
              <w:right w:type="dxa" w:w="100"/>
            </w:tcMar>
            <w:vAlign w:val="center"/>
          </w:tcPr>
          <w:p>
            <w:pPr>
              <w:spacing w:after="0" w:before="0" w:line="276"/>
            </w:pPr>
            <w:r>
              <w:rPr>
                <w:rFonts w:ascii="Arial" w:cs="Arial" w:eastAsia="Arial" w:hAnsi="Arial"/>
                <w:b w:val="false"/>
                <w:bCs w:val="false"/>
                <w:color w:val="1F2937"/>
                <w:sz w:val="20"/>
                <w:szCs w:val="20"/>
              </w:rPr>
              <w:t xml:space="preserve">2α + 4β</w:t>
            </w:r>
          </w:p>
        </w:tc>
        <w:tc>
          <w:tcPr>
            <w:tcW w:type="dxa" w:w="1727"/>
            <w:shd w:fill="FFFFFF" w:color="auto" w:val="clear"/>
            <w:tcMar>
              <w:top w:type="dxa" w:w="60"/>
              <w:left w:type="dxa" w:w="100"/>
              <w:bottom w:type="dxa" w:w="60"/>
              <w:right w:type="dxa" w:w="100"/>
            </w:tcMar>
            <w:vAlign w:val="center"/>
          </w:tcPr>
          <w:p>
            <w:pPr>
              <w:spacing w:after="0" w:before="0" w:line="276"/>
            </w:pPr>
            <w:r>
              <w:rPr>
                <w:rFonts w:ascii="Arial" w:cs="Arial" w:eastAsia="Arial" w:hAnsi="Arial"/>
                <w:b w:val="false"/>
                <w:bCs w:val="false"/>
                <w:color w:val="1F2937"/>
                <w:sz w:val="20"/>
                <w:szCs w:val="20"/>
              </w:rPr>
              <w:t xml:space="preserve">one ethene: 2α + 2β</w:t>
            </w:r>
          </w:p>
        </w:tc>
        <w:tc>
          <w:tcPr>
            <w:tcW w:type="dxa" w:w="1223"/>
            <w:shd w:fill="FFFFFF" w:color="auto" w:val="clear"/>
            <w:tcMar>
              <w:top w:type="dxa" w:w="60"/>
              <w:left w:type="dxa" w:w="100"/>
              <w:bottom w:type="dxa" w:w="60"/>
              <w:right w:type="dxa" w:w="100"/>
            </w:tcMar>
            <w:vAlign w:val="center"/>
          </w:tcPr>
          <w:p>
            <w:pPr>
              <w:spacing w:after="0" w:before="0" w:line="276"/>
            </w:pPr>
            <w:r>
              <w:rPr>
                <w:rFonts w:ascii="Arial" w:cs="Arial" w:eastAsia="Arial" w:hAnsi="Arial"/>
                <w:b w:val="false"/>
                <w:bCs w:val="false"/>
                <w:color w:val="1F2937"/>
                <w:sz w:val="20"/>
                <w:szCs w:val="20"/>
              </w:rPr>
              <w:t xml:space="preserve">2β (aromatic)</w:t>
            </w:r>
          </w:p>
        </w:tc>
      </w:tr>
      <w:tr>
        <w:tc>
          <w:tcPr>
            <w:tcW w:type="dxa" w:w="1151"/>
            <w:shd w:fill="F1F5F9" w:color="auto" w:val="clear"/>
            <w:tcMar>
              <w:top w:type="dxa" w:w="60"/>
              <w:left w:type="dxa" w:w="100"/>
              <w:bottom w:type="dxa" w:w="60"/>
              <w:right w:type="dxa" w:w="100"/>
            </w:tcMar>
            <w:vAlign w:val="center"/>
          </w:tcPr>
          <w:p>
            <w:pPr>
              <w:spacing w:after="0" w:before="0" w:line="276"/>
            </w:pPr>
            <w:r>
              <w:rPr>
                <w:rFonts w:ascii="Arial" w:cs="Arial" w:eastAsia="Arial" w:hAnsi="Arial"/>
                <w:b/>
                <w:bCs/>
                <w:color w:val="1F2937"/>
                <w:sz w:val="20"/>
                <w:szCs w:val="20"/>
              </w:rPr>
              <w:t xml:space="preserve">4</w:t>
            </w:r>
          </w:p>
        </w:tc>
        <w:tc>
          <w:tcPr>
            <w:tcW w:type="dxa" w:w="2734"/>
            <w:shd w:fill="FFFFFF" w:color="auto" w:val="clear"/>
            <w:tcMar>
              <w:top w:type="dxa" w:w="60"/>
              <w:left w:type="dxa" w:w="100"/>
              <w:bottom w:type="dxa" w:w="60"/>
              <w:right w:type="dxa" w:w="100"/>
            </w:tcMar>
            <w:vAlign w:val="center"/>
          </w:tcPr>
          <w:p>
            <w:pPr>
              <w:spacing w:after="0" w:before="0" w:line="276"/>
            </w:pPr>
            <w:r>
              <w:rPr>
                <w:rFonts w:ascii="Arial" w:cs="Arial" w:eastAsia="Arial" w:hAnsi="Arial"/>
                <w:b w:val="false"/>
                <w:bCs w:val="false"/>
                <w:color w:val="1F2937"/>
                <w:sz w:val="20"/>
                <w:szCs w:val="20"/>
              </w:rPr>
              <w:t xml:space="preserve">+2, 0, 0, −2</w:t>
            </w:r>
          </w:p>
        </w:tc>
        <w:tc>
          <w:tcPr>
            <w:tcW w:type="dxa" w:w="1511"/>
            <w:shd w:fill="FFFFFF" w:color="auto" w:val="clear"/>
            <w:tcMar>
              <w:top w:type="dxa" w:w="60"/>
              <w:left w:type="dxa" w:w="100"/>
              <w:bottom w:type="dxa" w:w="60"/>
              <w:right w:type="dxa" w:w="100"/>
            </w:tcMar>
            <w:vAlign w:val="center"/>
          </w:tcPr>
          <w:p>
            <w:pPr>
              <w:spacing w:after="0" w:before="0" w:line="276"/>
            </w:pPr>
            <w:r>
              <w:rPr>
                <w:rFonts w:ascii="Arial" w:cs="Arial" w:eastAsia="Arial" w:hAnsi="Arial"/>
                <w:b w:val="false"/>
                <w:bCs w:val="false"/>
                <w:color w:val="1F2937"/>
                <w:sz w:val="20"/>
                <w:szCs w:val="20"/>
              </w:rPr>
              <w:t xml:space="preserve">4 (C₄H₄)</w:t>
            </w:r>
          </w:p>
        </w:tc>
        <w:tc>
          <w:tcPr>
            <w:tcW w:type="dxa" w:w="1295"/>
            <w:shd w:fill="FFFFFF" w:color="auto" w:val="clear"/>
            <w:tcMar>
              <w:top w:type="dxa" w:w="60"/>
              <w:left w:type="dxa" w:w="100"/>
              <w:bottom w:type="dxa" w:w="60"/>
              <w:right w:type="dxa" w:w="100"/>
            </w:tcMar>
            <w:vAlign w:val="center"/>
          </w:tcPr>
          <w:p>
            <w:pPr>
              <w:spacing w:after="0" w:before="0" w:line="276"/>
            </w:pPr>
            <w:r>
              <w:rPr>
                <w:rFonts w:ascii="Arial" w:cs="Arial" w:eastAsia="Arial" w:hAnsi="Arial"/>
                <w:b w:val="false"/>
                <w:bCs w:val="false"/>
                <w:color w:val="1F2937"/>
                <w:sz w:val="20"/>
                <w:szCs w:val="20"/>
              </w:rPr>
              <w:t xml:space="preserve">4α + 4β</w:t>
            </w:r>
          </w:p>
        </w:tc>
        <w:tc>
          <w:tcPr>
            <w:tcW w:type="dxa" w:w="1727"/>
            <w:shd w:fill="FFFFFF" w:color="auto" w:val="clear"/>
            <w:tcMar>
              <w:top w:type="dxa" w:w="60"/>
              <w:left w:type="dxa" w:w="100"/>
              <w:bottom w:type="dxa" w:w="60"/>
              <w:right w:type="dxa" w:w="100"/>
            </w:tcMar>
            <w:vAlign w:val="center"/>
          </w:tcPr>
          <w:p>
            <w:pPr>
              <w:spacing w:after="0" w:before="0" w:line="276"/>
            </w:pPr>
            <w:r>
              <w:rPr>
                <w:rFonts w:ascii="Arial" w:cs="Arial" w:eastAsia="Arial" w:hAnsi="Arial"/>
                <w:b w:val="false"/>
                <w:bCs w:val="false"/>
                <w:color w:val="1F2937"/>
                <w:sz w:val="20"/>
                <w:szCs w:val="20"/>
              </w:rPr>
              <w:t xml:space="preserve">two ethenes: 4α + 4β</w:t>
            </w:r>
          </w:p>
        </w:tc>
        <w:tc>
          <w:tcPr>
            <w:tcW w:type="dxa" w:w="1223"/>
            <w:shd w:fill="FFFFFF" w:color="auto" w:val="clear"/>
            <w:tcMar>
              <w:top w:type="dxa" w:w="60"/>
              <w:left w:type="dxa" w:w="100"/>
              <w:bottom w:type="dxa" w:w="60"/>
              <w:right w:type="dxa" w:w="100"/>
            </w:tcMar>
            <w:vAlign w:val="center"/>
          </w:tcPr>
          <w:p>
            <w:pPr>
              <w:spacing w:after="0" w:before="0" w:line="276"/>
            </w:pPr>
            <w:r>
              <w:rPr>
                <w:rFonts w:ascii="Arial" w:cs="Arial" w:eastAsia="Arial" w:hAnsi="Arial"/>
                <w:b w:val="false"/>
                <w:bCs w:val="false"/>
                <w:color w:val="1F2937"/>
                <w:sz w:val="20"/>
                <w:szCs w:val="20"/>
              </w:rPr>
              <w:t xml:space="preserve">0 — and a diradical</w:t>
            </w:r>
          </w:p>
        </w:tc>
      </w:tr>
      <w:tr>
        <w:tc>
          <w:tcPr>
            <w:tcW w:type="dxa" w:w="1151"/>
            <w:shd w:fill="F1F5F9" w:color="auto" w:val="clear"/>
            <w:tcMar>
              <w:top w:type="dxa" w:w="60"/>
              <w:left w:type="dxa" w:w="100"/>
              <w:bottom w:type="dxa" w:w="60"/>
              <w:right w:type="dxa" w:w="100"/>
            </w:tcMar>
            <w:vAlign w:val="center"/>
          </w:tcPr>
          <w:p>
            <w:pPr>
              <w:spacing w:after="0" w:before="0" w:line="276"/>
            </w:pPr>
            <w:r>
              <w:rPr>
                <w:rFonts w:ascii="Arial" w:cs="Arial" w:eastAsia="Arial" w:hAnsi="Arial"/>
                <w:b/>
                <w:bCs/>
                <w:color w:val="1F2937"/>
                <w:sz w:val="20"/>
                <w:szCs w:val="20"/>
              </w:rPr>
              <w:t xml:space="preserve">5</w:t>
            </w:r>
          </w:p>
        </w:tc>
        <w:tc>
          <w:tcPr>
            <w:tcW w:type="dxa" w:w="2734"/>
            <w:shd w:fill="FFFFFF" w:color="auto" w:val="clear"/>
            <w:tcMar>
              <w:top w:type="dxa" w:w="60"/>
              <w:left w:type="dxa" w:w="100"/>
              <w:bottom w:type="dxa" w:w="60"/>
              <w:right w:type="dxa" w:w="100"/>
            </w:tcMar>
            <w:vAlign w:val="center"/>
          </w:tcPr>
          <w:p>
            <w:pPr>
              <w:spacing w:after="0" w:before="0" w:line="276"/>
            </w:pPr>
            <w:r>
              <w:rPr>
                <w:rFonts w:ascii="Arial" w:cs="Arial" w:eastAsia="Arial" w:hAnsi="Arial"/>
                <w:b w:val="false"/>
                <w:bCs w:val="false"/>
                <w:color w:val="1F2937"/>
                <w:sz w:val="20"/>
                <w:szCs w:val="20"/>
              </w:rPr>
              <w:t xml:space="preserve">+2, +0.618 (×2), −1.618 (×2)</w:t>
            </w:r>
          </w:p>
        </w:tc>
        <w:tc>
          <w:tcPr>
            <w:tcW w:type="dxa" w:w="1511"/>
            <w:shd w:fill="FFFFFF" w:color="auto" w:val="clear"/>
            <w:tcMar>
              <w:top w:type="dxa" w:w="60"/>
              <w:left w:type="dxa" w:w="100"/>
              <w:bottom w:type="dxa" w:w="60"/>
              <w:right w:type="dxa" w:w="100"/>
            </w:tcMar>
            <w:vAlign w:val="center"/>
          </w:tcPr>
          <w:p>
            <w:pPr>
              <w:spacing w:after="0" w:before="0" w:line="276"/>
            </w:pPr>
            <w:r>
              <w:rPr>
                <w:rFonts w:ascii="Arial" w:cs="Arial" w:eastAsia="Arial" w:hAnsi="Arial"/>
                <w:b w:val="false"/>
                <w:bCs w:val="false"/>
                <w:color w:val="1F2937"/>
                <w:sz w:val="20"/>
                <w:szCs w:val="20"/>
              </w:rPr>
              <w:t xml:space="preserve">6 (C₅H₅⁻)</w:t>
            </w:r>
          </w:p>
        </w:tc>
        <w:tc>
          <w:tcPr>
            <w:tcW w:type="dxa" w:w="1295"/>
            <w:shd w:fill="FFFFFF" w:color="auto" w:val="clear"/>
            <w:tcMar>
              <w:top w:type="dxa" w:w="60"/>
              <w:left w:type="dxa" w:w="100"/>
              <w:bottom w:type="dxa" w:w="60"/>
              <w:right w:type="dxa" w:w="100"/>
            </w:tcMar>
            <w:vAlign w:val="center"/>
          </w:tcPr>
          <w:p>
            <w:pPr>
              <w:spacing w:after="0" w:before="0" w:line="276"/>
            </w:pPr>
            <w:r>
              <w:rPr>
                <w:rFonts w:ascii="Arial" w:cs="Arial" w:eastAsia="Arial" w:hAnsi="Arial"/>
                <w:b w:val="false"/>
                <w:bCs w:val="false"/>
                <w:color w:val="1F2937"/>
                <w:sz w:val="20"/>
                <w:szCs w:val="20"/>
              </w:rPr>
              <w:t xml:space="preserve">6α + 6.47β</w:t>
            </w:r>
          </w:p>
        </w:tc>
        <w:tc>
          <w:tcPr>
            <w:tcW w:type="dxa" w:w="1727"/>
            <w:shd w:fill="FFFFFF" w:color="auto" w:val="clear"/>
            <w:tcMar>
              <w:top w:type="dxa" w:w="60"/>
              <w:left w:type="dxa" w:w="100"/>
              <w:bottom w:type="dxa" w:w="60"/>
              <w:right w:type="dxa" w:w="100"/>
            </w:tcMar>
            <w:vAlign w:val="center"/>
          </w:tcPr>
          <w:p>
            <w:pPr>
              <w:spacing w:after="0" w:before="0" w:line="276"/>
            </w:pPr>
            <w:r>
              <w:rPr>
                <w:rFonts w:ascii="Arial" w:cs="Arial" w:eastAsia="Arial" w:hAnsi="Arial"/>
                <w:b w:val="false"/>
                <w:bCs w:val="false"/>
                <w:color w:val="1F2937"/>
                <w:sz w:val="20"/>
                <w:szCs w:val="20"/>
              </w:rPr>
              <w:t xml:space="preserve">2 ethenes + lone pair: 6α + 4β</w:t>
            </w:r>
          </w:p>
        </w:tc>
        <w:tc>
          <w:tcPr>
            <w:tcW w:type="dxa" w:w="1223"/>
            <w:shd w:fill="FFFFFF" w:color="auto" w:val="clear"/>
            <w:tcMar>
              <w:top w:type="dxa" w:w="60"/>
              <w:left w:type="dxa" w:w="100"/>
              <w:bottom w:type="dxa" w:w="60"/>
              <w:right w:type="dxa" w:w="100"/>
            </w:tcMar>
            <w:vAlign w:val="center"/>
          </w:tcPr>
          <w:p>
            <w:pPr>
              <w:spacing w:after="0" w:before="0" w:line="276"/>
            </w:pPr>
            <w:r>
              <w:rPr>
                <w:rFonts w:ascii="Arial" w:cs="Arial" w:eastAsia="Arial" w:hAnsi="Arial"/>
                <w:b w:val="false"/>
                <w:bCs w:val="false"/>
                <w:color w:val="1F2937"/>
                <w:sz w:val="20"/>
                <w:szCs w:val="20"/>
              </w:rPr>
              <w:t xml:space="preserve">2.47β</w:t>
            </w:r>
          </w:p>
        </w:tc>
      </w:tr>
      <w:tr>
        <w:tc>
          <w:tcPr>
            <w:tcW w:type="dxa" w:w="1151"/>
            <w:shd w:fill="F1F5F9" w:color="auto" w:val="clear"/>
            <w:tcMar>
              <w:top w:type="dxa" w:w="60"/>
              <w:left w:type="dxa" w:w="100"/>
              <w:bottom w:type="dxa" w:w="60"/>
              <w:right w:type="dxa" w:w="100"/>
            </w:tcMar>
            <w:vAlign w:val="center"/>
          </w:tcPr>
          <w:p>
            <w:pPr>
              <w:spacing w:after="0" w:before="0" w:line="276"/>
            </w:pPr>
            <w:r>
              <w:rPr>
                <w:rFonts w:ascii="Arial" w:cs="Arial" w:eastAsia="Arial" w:hAnsi="Arial"/>
                <w:b/>
                <w:bCs/>
                <w:color w:val="1F2937"/>
                <w:sz w:val="20"/>
                <w:szCs w:val="20"/>
              </w:rPr>
              <w:t xml:space="preserve">6</w:t>
            </w:r>
          </w:p>
        </w:tc>
        <w:tc>
          <w:tcPr>
            <w:tcW w:type="dxa" w:w="2734"/>
            <w:shd w:fill="FFFFFF" w:color="auto" w:val="clear"/>
            <w:tcMar>
              <w:top w:type="dxa" w:w="60"/>
              <w:left w:type="dxa" w:w="100"/>
              <w:bottom w:type="dxa" w:w="60"/>
              <w:right w:type="dxa" w:w="100"/>
            </w:tcMar>
            <w:vAlign w:val="center"/>
          </w:tcPr>
          <w:p>
            <w:pPr>
              <w:spacing w:after="0" w:before="0" w:line="276"/>
            </w:pPr>
            <w:r>
              <w:rPr>
                <w:rFonts w:ascii="Arial" w:cs="Arial" w:eastAsia="Arial" w:hAnsi="Arial"/>
                <w:b w:val="false"/>
                <w:bCs w:val="false"/>
                <w:color w:val="1F2937"/>
                <w:sz w:val="20"/>
                <w:szCs w:val="20"/>
              </w:rPr>
              <w:t xml:space="preserve">+2, +1 (×2), −1 (×2), −2</w:t>
            </w:r>
          </w:p>
        </w:tc>
        <w:tc>
          <w:tcPr>
            <w:tcW w:type="dxa" w:w="1511"/>
            <w:shd w:fill="FFFFFF" w:color="auto" w:val="clear"/>
            <w:tcMar>
              <w:top w:type="dxa" w:w="60"/>
              <w:left w:type="dxa" w:w="100"/>
              <w:bottom w:type="dxa" w:w="60"/>
              <w:right w:type="dxa" w:w="100"/>
            </w:tcMar>
            <w:vAlign w:val="center"/>
          </w:tcPr>
          <w:p>
            <w:pPr>
              <w:spacing w:after="0" w:before="0" w:line="276"/>
            </w:pPr>
            <w:r>
              <w:rPr>
                <w:rFonts w:ascii="Arial" w:cs="Arial" w:eastAsia="Arial" w:hAnsi="Arial"/>
                <w:b w:val="false"/>
                <w:bCs w:val="false"/>
                <w:color w:val="1F2937"/>
                <w:sz w:val="20"/>
                <w:szCs w:val="20"/>
              </w:rPr>
              <w:t xml:space="preserve">6 (benzene)</w:t>
            </w:r>
          </w:p>
        </w:tc>
        <w:tc>
          <w:tcPr>
            <w:tcW w:type="dxa" w:w="1295"/>
            <w:shd w:fill="FFFFFF" w:color="auto" w:val="clear"/>
            <w:tcMar>
              <w:top w:type="dxa" w:w="60"/>
              <w:left w:type="dxa" w:w="100"/>
              <w:bottom w:type="dxa" w:w="60"/>
              <w:right w:type="dxa" w:w="100"/>
            </w:tcMar>
            <w:vAlign w:val="center"/>
          </w:tcPr>
          <w:p>
            <w:pPr>
              <w:spacing w:after="0" w:before="0" w:line="276"/>
            </w:pPr>
            <w:r>
              <w:rPr>
                <w:rFonts w:ascii="Arial" w:cs="Arial" w:eastAsia="Arial" w:hAnsi="Arial"/>
                <w:b w:val="false"/>
                <w:bCs w:val="false"/>
                <w:color w:val="1F2937"/>
                <w:sz w:val="20"/>
                <w:szCs w:val="20"/>
              </w:rPr>
              <w:t xml:space="preserve">6α + 8β</w:t>
            </w:r>
          </w:p>
        </w:tc>
        <w:tc>
          <w:tcPr>
            <w:tcW w:type="dxa" w:w="1727"/>
            <w:shd w:fill="FFFFFF" w:color="auto" w:val="clear"/>
            <w:tcMar>
              <w:top w:type="dxa" w:w="60"/>
              <w:left w:type="dxa" w:w="100"/>
              <w:bottom w:type="dxa" w:w="60"/>
              <w:right w:type="dxa" w:w="100"/>
            </w:tcMar>
            <w:vAlign w:val="center"/>
          </w:tcPr>
          <w:p>
            <w:pPr>
              <w:spacing w:after="0" w:before="0" w:line="276"/>
            </w:pPr>
            <w:r>
              <w:rPr>
                <w:rFonts w:ascii="Arial" w:cs="Arial" w:eastAsia="Arial" w:hAnsi="Arial"/>
                <w:b w:val="false"/>
                <w:bCs w:val="false"/>
                <w:color w:val="1F2937"/>
                <w:sz w:val="20"/>
                <w:szCs w:val="20"/>
              </w:rPr>
              <w:t xml:space="preserve">3 ethenes: 6α + 6β</w:t>
            </w:r>
          </w:p>
        </w:tc>
        <w:tc>
          <w:tcPr>
            <w:tcW w:type="dxa" w:w="1223"/>
            <w:shd w:fill="FFFFFF" w:color="auto" w:val="clear"/>
            <w:tcMar>
              <w:top w:type="dxa" w:w="60"/>
              <w:left w:type="dxa" w:w="100"/>
              <w:bottom w:type="dxa" w:w="60"/>
              <w:right w:type="dxa" w:w="100"/>
            </w:tcMar>
            <w:vAlign w:val="center"/>
          </w:tcPr>
          <w:p>
            <w:pPr>
              <w:spacing w:after="0" w:before="0" w:line="276"/>
            </w:pPr>
            <w:r>
              <w:rPr>
                <w:rFonts w:ascii="Arial" w:cs="Arial" w:eastAsia="Arial" w:hAnsi="Arial"/>
                <w:b w:val="false"/>
                <w:bCs w:val="false"/>
                <w:color w:val="1F2937"/>
                <w:sz w:val="20"/>
                <w:szCs w:val="20"/>
              </w:rPr>
              <w:t xml:space="preserve">2β</w:t>
            </w:r>
          </w:p>
        </w:tc>
      </w:tr>
      <w:tr>
        <w:tc>
          <w:tcPr>
            <w:tcW w:type="dxa" w:w="1151"/>
            <w:shd w:fill="F1F5F9" w:color="auto" w:val="clear"/>
            <w:tcMar>
              <w:top w:type="dxa" w:w="60"/>
              <w:left w:type="dxa" w:w="100"/>
              <w:bottom w:type="dxa" w:w="60"/>
              <w:right w:type="dxa" w:w="100"/>
            </w:tcMar>
            <w:vAlign w:val="center"/>
          </w:tcPr>
          <w:p>
            <w:pPr>
              <w:spacing w:after="0" w:before="0" w:line="276"/>
            </w:pPr>
            <w:r>
              <w:rPr>
                <w:rFonts w:ascii="Arial" w:cs="Arial" w:eastAsia="Arial" w:hAnsi="Arial"/>
                <w:b/>
                <w:bCs/>
                <w:color w:val="1F2937"/>
                <w:sz w:val="20"/>
                <w:szCs w:val="20"/>
              </w:rPr>
              <w:t xml:space="preserve">7</w:t>
            </w:r>
          </w:p>
        </w:tc>
        <w:tc>
          <w:tcPr>
            <w:tcW w:type="dxa" w:w="2734"/>
            <w:shd w:fill="FFFFFF" w:color="auto" w:val="clear"/>
            <w:tcMar>
              <w:top w:type="dxa" w:w="60"/>
              <w:left w:type="dxa" w:w="100"/>
              <w:bottom w:type="dxa" w:w="60"/>
              <w:right w:type="dxa" w:w="100"/>
            </w:tcMar>
            <w:vAlign w:val="center"/>
          </w:tcPr>
          <w:p>
            <w:pPr>
              <w:spacing w:after="0" w:before="0" w:line="276"/>
            </w:pPr>
            <w:r>
              <w:rPr>
                <w:rFonts w:ascii="Arial" w:cs="Arial" w:eastAsia="Arial" w:hAnsi="Arial"/>
                <w:b w:val="false"/>
                <w:bCs w:val="false"/>
                <w:color w:val="1F2937"/>
                <w:sz w:val="20"/>
                <w:szCs w:val="20"/>
              </w:rPr>
              <w:t xml:space="preserve">+2, +1.25 (×2), −0.45 (×2), −1.80 (×2)</w:t>
            </w:r>
          </w:p>
        </w:tc>
        <w:tc>
          <w:tcPr>
            <w:tcW w:type="dxa" w:w="1511"/>
            <w:shd w:fill="FFFFFF" w:color="auto" w:val="clear"/>
            <w:tcMar>
              <w:top w:type="dxa" w:w="60"/>
              <w:left w:type="dxa" w:w="100"/>
              <w:bottom w:type="dxa" w:w="60"/>
              <w:right w:type="dxa" w:w="100"/>
            </w:tcMar>
            <w:vAlign w:val="center"/>
          </w:tcPr>
          <w:p>
            <w:pPr>
              <w:spacing w:after="0" w:before="0" w:line="276"/>
            </w:pPr>
            <w:r>
              <w:rPr>
                <w:rFonts w:ascii="Arial" w:cs="Arial" w:eastAsia="Arial" w:hAnsi="Arial"/>
                <w:b w:val="false"/>
                <w:bCs w:val="false"/>
                <w:color w:val="1F2937"/>
                <w:sz w:val="20"/>
                <w:szCs w:val="20"/>
              </w:rPr>
              <w:t xml:space="preserve">6 (C₇H₇⁺)</w:t>
            </w:r>
          </w:p>
        </w:tc>
        <w:tc>
          <w:tcPr>
            <w:tcW w:type="dxa" w:w="1295"/>
            <w:shd w:fill="FFFFFF" w:color="auto" w:val="clear"/>
            <w:tcMar>
              <w:top w:type="dxa" w:w="60"/>
              <w:left w:type="dxa" w:w="100"/>
              <w:bottom w:type="dxa" w:w="60"/>
              <w:right w:type="dxa" w:w="100"/>
            </w:tcMar>
            <w:vAlign w:val="center"/>
          </w:tcPr>
          <w:p>
            <w:pPr>
              <w:spacing w:after="0" w:before="0" w:line="276"/>
            </w:pPr>
            <w:r>
              <w:rPr>
                <w:rFonts w:ascii="Arial" w:cs="Arial" w:eastAsia="Arial" w:hAnsi="Arial"/>
                <w:b w:val="false"/>
                <w:bCs w:val="false"/>
                <w:color w:val="1F2937"/>
                <w:sz w:val="20"/>
                <w:szCs w:val="20"/>
              </w:rPr>
              <w:t xml:space="preserve">6α + 8.99β</w:t>
            </w:r>
          </w:p>
        </w:tc>
        <w:tc>
          <w:tcPr>
            <w:tcW w:type="dxa" w:w="1727"/>
            <w:shd w:fill="FFFFFF" w:color="auto" w:val="clear"/>
            <w:tcMar>
              <w:top w:type="dxa" w:w="60"/>
              <w:left w:type="dxa" w:w="100"/>
              <w:bottom w:type="dxa" w:w="60"/>
              <w:right w:type="dxa" w:w="100"/>
            </w:tcMar>
            <w:vAlign w:val="center"/>
          </w:tcPr>
          <w:p>
            <w:pPr>
              <w:spacing w:after="0" w:before="0" w:line="276"/>
            </w:pPr>
            <w:r>
              <w:rPr>
                <w:rFonts w:ascii="Arial" w:cs="Arial" w:eastAsia="Arial" w:hAnsi="Arial"/>
                <w:b w:val="false"/>
                <w:bCs w:val="false"/>
                <w:color w:val="1F2937"/>
                <w:sz w:val="20"/>
                <w:szCs w:val="20"/>
              </w:rPr>
              <w:t xml:space="preserve">3 ethenes: 6α + 6β</w:t>
            </w:r>
          </w:p>
        </w:tc>
        <w:tc>
          <w:tcPr>
            <w:tcW w:type="dxa" w:w="1223"/>
            <w:shd w:fill="FFFFFF" w:color="auto" w:val="clear"/>
            <w:tcMar>
              <w:top w:type="dxa" w:w="60"/>
              <w:left w:type="dxa" w:w="100"/>
              <w:bottom w:type="dxa" w:w="60"/>
              <w:right w:type="dxa" w:w="100"/>
            </w:tcMar>
            <w:vAlign w:val="center"/>
          </w:tcPr>
          <w:p>
            <w:pPr>
              <w:spacing w:after="0" w:before="0" w:line="276"/>
            </w:pPr>
            <w:r>
              <w:rPr>
                <w:rFonts w:ascii="Arial" w:cs="Arial" w:eastAsia="Arial" w:hAnsi="Arial"/>
                <w:b w:val="false"/>
                <w:bCs w:val="false"/>
                <w:color w:val="1F2937"/>
                <w:sz w:val="20"/>
                <w:szCs w:val="20"/>
              </w:rPr>
              <w:t xml:space="preserve">2.99β</w:t>
            </w:r>
          </w:p>
        </w:tc>
      </w:tr>
    </w:tbl>
    <w:p>
      <w:pPr>
        <w:spacing w:after="40" w:before="0" w:line="276"/>
      </w:pPr>
      <w:r>
        <w:rPr>
          <w:rFonts w:ascii="Arial" w:cs="Arial" w:eastAsia="Arial" w:hAnsi="Arial"/>
          <w:color w:val="1F2937"/>
          <w:sz w:val="22"/>
          <w:szCs w:val="22"/>
        </w:rPr>
        <w:t xml:space="preserve"> </w:t>
      </w:r>
    </w:p>
    <w:p>
      <w:pPr>
        <w:keepNext/>
        <w:spacing w:after="40" w:before="200"/>
      </w:pPr>
      <w:r>
        <w:rPr>
          <w:rFonts w:ascii="Arial" w:cs="Arial" w:eastAsia="Arial" w:hAnsi="Arial"/>
          <w:b/>
          <w:bCs/>
          <w:color w:val="312E81"/>
          <w:sz w:val="22"/>
          <w:szCs w:val="22"/>
        </w:rPr>
        <w:t xml:space="preserve">8.1  </w:t>
      </w:r>
      <w:r>
        <w:rPr>
          <w:rFonts w:ascii="Arial" w:cs="Arial" w:eastAsia="Arial" w:hAnsi="Arial"/>
          <w:color w:val="1F2937"/>
          <w:sz w:val="22"/>
          <w:szCs w:val="22"/>
        </w:rPr>
        <w:t xml:space="preserve">Cyclobutadiene: write down the four Hückel energies, fill in 4 electrons (Hund's rule) and calculate the delocalisation energy relative to two ethene molecules. What does the result predict about its structure?</w:t>
      </w:r>
      <w:r>
        <w:rPr>
          <w:rFonts w:ascii="Arial" w:cs="Arial" w:eastAsia="Arial" w:hAnsi="Arial"/>
          <w:b/>
          <w:bCs/>
          <w:color w:val="D97706"/>
          <w:sz w:val="20"/>
          <w:szCs w:val="20"/>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val="false"/>
        <w:pBdr>
          <w:bottom w:val="single" w:color="A1A1AA" w:sz="4" w:space="1"/>
        </w:pBdr>
        <w:spacing w:after="0" w:before="0" w:line="420"/>
      </w:pPr>
      <w:r>
        <w:rPr>
          <w:rFonts w:ascii="Arial" w:cs="Arial" w:eastAsia="Arial" w:hAnsi="Arial"/>
          <w:color w:val="1F2937"/>
          <w:sz w:val="22"/>
          <w:szCs w:val="22"/>
        </w:rPr>
        <w:t xml:space="preserve"> </w:t>
      </w:r>
    </w:p>
    <w:p>
      <w:pPr>
        <w:spacing w:after="40" w:before="0" w:line="276"/>
      </w:pPr>
      <w:r>
        <w:rPr>
          <w:rFonts w:ascii="Arial" w:cs="Arial" w:eastAsia="Arial" w:hAnsi="Arial"/>
          <w:color w:val="1F2937"/>
          <w:sz w:val="22"/>
          <w:szCs w:val="22"/>
        </w:rPr>
        <w:t xml:space="preserve"> </w:t>
      </w:r>
    </w:p>
    <w:p>
      <w:pPr>
        <w:keepNext/>
        <w:spacing w:after="40" w:before="200"/>
      </w:pPr>
      <w:r>
        <w:rPr>
          <w:rFonts w:ascii="Arial" w:cs="Arial" w:eastAsia="Arial" w:hAnsi="Arial"/>
          <w:b/>
          <w:bCs/>
          <w:color w:val="312E81"/>
          <w:sz w:val="22"/>
          <w:szCs w:val="22"/>
        </w:rPr>
        <w:t xml:space="preserve">8.2  </w:t>
      </w:r>
      <w:r>
        <w:rPr>
          <w:rFonts w:ascii="Arial" w:cs="Arial" w:eastAsia="Arial" w:hAnsi="Arial"/>
          <w:color w:val="1F2937"/>
          <w:sz w:val="22"/>
          <w:szCs w:val="22"/>
        </w:rPr>
        <w:t xml:space="preserve">Use Eₖ = α + 2β cos(2πk/8) to write down the orbital energies of planar cyclooctatetraene, then explain why (a) neutral C₈H₈ is a tub, (b) the dianion C₈H₈²⁻ is planar and aromatic.</w:t>
      </w:r>
      <w:r>
        <w:rPr>
          <w:rFonts w:ascii="Arial" w:cs="Arial" w:eastAsia="Arial" w:hAnsi="Arial"/>
          <w:b/>
          <w:bCs/>
          <w:color w:val="D97706"/>
          <w:sz w:val="20"/>
          <w:szCs w:val="20"/>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val="false"/>
        <w:pBdr>
          <w:bottom w:val="single" w:color="A1A1AB" w:sz="4" w:space="1"/>
        </w:pBdr>
        <w:spacing w:after="0" w:before="0" w:line="420"/>
      </w:pPr>
      <w:r>
        <w:rPr>
          <w:rFonts w:ascii="Arial" w:cs="Arial" w:eastAsia="Arial" w:hAnsi="Arial"/>
          <w:color w:val="1F2937"/>
          <w:sz w:val="22"/>
          <w:szCs w:val="22"/>
        </w:rPr>
        <w:t xml:space="preserve"> </w:t>
      </w:r>
    </w:p>
    <w:p>
      <w:pPr>
        <w:spacing w:after="40" w:before="0" w:line="276"/>
      </w:pPr>
      <w:r>
        <w:rPr>
          <w:rFonts w:ascii="Arial" w:cs="Arial" w:eastAsia="Arial" w:hAnsi="Arial"/>
          <w:color w:val="1F2937"/>
          <w:sz w:val="22"/>
          <w:szCs w:val="22"/>
        </w:rPr>
        <w:t xml:space="preserve"> </w:t>
      </w:r>
    </w:p>
    <w:p>
      <w:pPr>
        <w:keepNext/>
        <w:spacing w:after="40" w:before="200"/>
      </w:pPr>
      <w:r>
        <w:rPr>
          <w:rFonts w:ascii="Arial" w:cs="Arial" w:eastAsia="Arial" w:hAnsi="Arial"/>
          <w:b/>
          <w:bCs/>
          <w:color w:val="312E81"/>
          <w:sz w:val="22"/>
          <w:szCs w:val="22"/>
        </w:rPr>
        <w:t xml:space="preserve">8.3  </w:t>
      </w:r>
      <w:r>
        <w:rPr>
          <w:rFonts w:ascii="Arial" w:cs="Arial" w:eastAsia="Arial" w:hAnsi="Arial"/>
          <w:color w:val="1F2937"/>
          <w:sz w:val="22"/>
          <w:szCs w:val="22"/>
        </w:rPr>
        <w:t xml:space="preserve">The HOMO energies of the linear acenes (α + xβ) are: naphthalene x = 0.618, anthracene 0.414, tetracene 0.295, pentacene 0.220 (the LUMO is symmetric at α − xβ). Calculate each HOMO–LUMO gap in units of |β|, then, using β ≈ −250 kJ mol⁻¹ (spectroscopic), estimate the wavelength absorbed by anthracene and comment on the colours of the series.</w:t>
      </w:r>
      <w:r>
        <w:rPr>
          <w:rFonts w:ascii="Arial" w:cs="Arial" w:eastAsia="Arial" w:hAnsi="Arial"/>
          <w:b/>
          <w:bCs/>
          <w:color w:val="D97706"/>
          <w:sz w:val="20"/>
          <w:szCs w:val="20"/>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val="false"/>
        <w:pBdr>
          <w:bottom w:val="single" w:color="A1A1AB" w:sz="4" w:space="1"/>
        </w:pBdr>
        <w:spacing w:after="0" w:before="0" w:line="420"/>
      </w:pPr>
      <w:r>
        <w:rPr>
          <w:rFonts w:ascii="Arial" w:cs="Arial" w:eastAsia="Arial" w:hAnsi="Arial"/>
          <w:color w:val="1F2937"/>
          <w:sz w:val="22"/>
          <w:szCs w:val="22"/>
        </w:rPr>
        <w:t xml:space="preserve"> </w:t>
      </w:r>
    </w:p>
    <w:p>
      <w:pPr>
        <w:spacing w:after="40" w:before="0" w:line="276"/>
      </w:pPr>
      <w:r>
        <w:rPr>
          <w:rFonts w:ascii="Arial" w:cs="Arial" w:eastAsia="Arial" w:hAnsi="Arial"/>
          <w:color w:val="1F2937"/>
          <w:sz w:val="22"/>
          <w:szCs w:val="22"/>
        </w:rPr>
        <w:t xml:space="preserve"> </w:t>
      </w:r>
    </w:p>
    <w:p>
      <w:pPr>
        <w:keepNext/>
        <w:spacing w:after="40" w:before="200"/>
      </w:pPr>
      <w:r>
        <w:rPr>
          <w:rFonts w:ascii="Arial" w:cs="Arial" w:eastAsia="Arial" w:hAnsi="Arial"/>
          <w:b/>
          <w:bCs/>
          <w:color w:val="312E81"/>
          <w:sz w:val="22"/>
          <w:szCs w:val="22"/>
        </w:rPr>
        <w:t xml:space="preserve">8.4  </w:t>
      </w:r>
      <w:r>
        <w:rPr>
          <w:rFonts w:ascii="Arial" w:cs="Arial" w:eastAsia="Arial" w:hAnsi="Arial"/>
          <w:color w:val="1F2937"/>
          <w:sz w:val="22"/>
          <w:szCs w:val="22"/>
        </w:rPr>
        <w:t xml:space="preserve">Explain in one paragraph what HMO theory leaves out, and why it nevertheless predicts aromaticity correctly.</w:t>
      </w:r>
      <w:r>
        <w:rPr>
          <w:rFonts w:ascii="Arial" w:cs="Arial" w:eastAsia="Arial" w:hAnsi="Arial"/>
          <w:b/>
          <w:bCs/>
          <w:color w:val="D97706"/>
          <w:sz w:val="20"/>
          <w:szCs w:val="20"/>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val="false"/>
        <w:pBdr>
          <w:bottom w:val="single" w:color="A1A1AB" w:sz="4" w:space="1"/>
        </w:pBdr>
        <w:spacing w:after="0" w:before="0" w:line="420"/>
      </w:pPr>
      <w:r>
        <w:rPr>
          <w:rFonts w:ascii="Arial" w:cs="Arial" w:eastAsia="Arial" w:hAnsi="Arial"/>
          <w:color w:val="1F2937"/>
          <w:sz w:val="22"/>
          <w:szCs w:val="22"/>
        </w:rPr>
        <w:t xml:space="preserve"> </w:t>
      </w:r>
    </w:p>
    <w:p>
      <w:pPr>
        <w:spacing w:after="40" w:before="0" w:line="276"/>
      </w:pPr>
      <w:r>
        <w:rPr>
          <w:rFonts w:ascii="Arial" w:cs="Arial" w:eastAsia="Arial" w:hAnsi="Arial"/>
          <w:color w:val="1F2937"/>
          <w:sz w:val="22"/>
          <w:szCs w:val="22"/>
        </w:rPr>
        <w:t xml:space="preserve"> </w:t>
      </w:r>
    </w:p>
    <w:tbl>
      <w:tblPr>
        <w:tblW w:type="dxa" w:w="9640"/>
        <w:tblBorders>
          <w:top w:val="single" w:color="CBD5E1" w:sz="8"/>
          <w:left w:val="single" w:color="CBD5E1" w:sz="8"/>
          <w:bottom w:val="single" w:color="CBD5E1" w:sz="8"/>
          <w:right w:val="single" w:color="CBD5E1" w:sz="8"/>
          <w:insideH w:val="single" w:color="CBD5E1" w:sz="8"/>
          <w:insideV w:val="single" w:color="CBD5E1" w:sz="8"/>
        </w:tblBorders>
      </w:tblPr>
      <w:tblGrid>
        <w:gridCol w:w="9640"/>
      </w:tblGrid>
      <w:tr>
        <w:trPr>
          <w:cantSplit/>
        </w:trPr>
        <w:tc>
          <w:tcPr>
            <w:tcW w:type="dxa" w:w="9640"/>
            <w:shd w:fill="F8FAFC" w:color="auto" w:val="clear"/>
            <w:tcMar>
              <w:top w:type="dxa" w:w="100"/>
              <w:left w:type="dxa" w:w="160"/>
              <w:bottom w:type="dxa" w:w="100"/>
              <w:right w:type="dxa" w:w="160"/>
            </w:tcMar>
          </w:tcPr>
          <w:p>
            <w:pPr>
              <w:spacing w:after="40" w:before="0" w:line="276"/>
            </w:pPr>
            <w:r>
              <w:rPr>
                <w:rFonts w:ascii="Arial" w:cs="Arial" w:eastAsia="Arial" w:hAnsi="Arial"/>
                <w:b/>
                <w:bCs/>
                <w:color w:val="312E81"/>
                <w:sz w:val="20"/>
                <w:szCs w:val="20"/>
              </w:rPr>
              <w:t xml:space="preserve">Reading for this section</w:t>
            </w:r>
          </w:p>
          <w:p>
            <w:pPr>
              <w:spacing w:after="20" w:before="20" w:line="276"/>
              <w:ind w:left="200" w:hanging="200"/>
            </w:pPr>
            <w:r>
              <w:rPr>
                <w:rFonts w:ascii="Arial" w:cs="Arial" w:eastAsia="Arial" w:hAnsi="Arial"/>
                <w:b/>
                <w:bCs/>
                <w:color w:val="312E81"/>
                <w:sz w:val="19"/>
                <w:szCs w:val="19"/>
              </w:rPr>
              <w:t xml:space="preserve">▸ </w:t>
            </w:r>
            <w:r>
              <w:rPr>
                <w:rFonts w:ascii="Arial" w:cs="Arial" w:eastAsia="Arial" w:hAnsi="Arial"/>
                <w:color w:val="1F2937"/>
                <w:sz w:val="19"/>
                <w:szCs w:val="19"/>
              </w:rPr>
              <w:t xml:space="preserve">I. Fleming, Molecular Orbitals and Organic Chemical Reactions (Student ed., Wiley), ch. 1–2</w:t>
            </w:r>
            <w:r>
              <w:rPr>
                <w:rFonts w:ascii="Arial" w:cs="Arial" w:eastAsia="Arial" w:hAnsi="Arial"/>
                <w:i/>
                <w:iCs/>
                <w:color w:val="4B5563"/>
                <w:sz w:val="19"/>
                <w:szCs w:val="19"/>
              </w:rPr>
              <w:t xml:space="preserve">  —  HMO theory done properly, with worked energies</w:t>
            </w:r>
          </w:p>
          <w:p>
            <w:pPr>
              <w:spacing w:after="20" w:before="20" w:line="276"/>
              <w:ind w:left="200" w:hanging="200"/>
            </w:pPr>
            <w:r>
              <w:rPr>
                <w:rFonts w:ascii="Arial" w:cs="Arial" w:eastAsia="Arial" w:hAnsi="Arial"/>
                <w:b/>
                <w:bCs/>
                <w:color w:val="312E81"/>
                <w:sz w:val="19"/>
                <w:szCs w:val="19"/>
              </w:rPr>
              <w:t xml:space="preserve">▸ </w:t>
            </w:r>
            <w:r>
              <w:rPr>
                <w:rFonts w:ascii="Arial" w:cs="Arial" w:eastAsia="Arial" w:hAnsi="Arial"/>
                <w:color w:val="1F2937"/>
                <w:sz w:val="19"/>
                <w:szCs w:val="19"/>
              </w:rPr>
              <w:t xml:space="preserve">P. Atkins &amp; J. de Paula, Physical Chemistry — 'Hückel approximation' section</w:t>
            </w:r>
            <w:r>
              <w:rPr>
                <w:rFonts w:ascii="Arial" w:cs="Arial" w:eastAsia="Arial" w:hAnsi="Arial"/>
                <w:i/>
                <w:iCs/>
                <w:color w:val="4B5563"/>
                <w:sz w:val="19"/>
                <w:szCs w:val="19"/>
              </w:rPr>
              <w:t xml:space="preserve">  —  the secular determinant for benzene, if you want to see where Eₖ comes from</w:t>
            </w:r>
          </w:p>
          <w:p>
            <w:pPr>
              <w:spacing w:after="20" w:before="20" w:line="276"/>
              <w:ind w:left="200" w:hanging="200"/>
            </w:pPr>
            <w:r>
              <w:rPr>
                <w:rFonts w:ascii="Arial" w:cs="Arial" w:eastAsia="Arial" w:hAnsi="Arial"/>
                <w:b/>
                <w:bCs/>
                <w:color w:val="312E81"/>
                <w:sz w:val="19"/>
                <w:szCs w:val="19"/>
              </w:rPr>
              <w:t xml:space="preserve">▸ </w:t>
            </w:r>
            <w:r>
              <w:rPr>
                <w:rFonts w:ascii="Arial" w:cs="Arial" w:eastAsia="Arial" w:hAnsi="Arial"/>
                <w:color w:val="1F2937"/>
                <w:sz w:val="19"/>
                <w:szCs w:val="19"/>
              </w:rPr>
              <w:t xml:space="preserve">Clayden ch. 7 (Hückel's rule) and ch. 4 (MOs)</w:t>
            </w:r>
            <w:r>
              <w:rPr>
                <w:rFonts w:ascii="Arial" w:cs="Arial" w:eastAsia="Arial" w:hAnsi="Arial"/>
                <w:i/>
                <w:iCs/>
                <w:color w:val="4B5563"/>
                <w:sz w:val="19"/>
                <w:szCs w:val="19"/>
              </w:rPr>
              <w:t xml:space="preserve">  —  the qualitative bridge</w:t>
            </w:r>
          </w:p>
        </w:tc>
      </w:tr>
    </w:tbl>
    <w:p>
      <w:pPr>
        <w:spacing w:after="40" w:before="0" w:line="276"/>
      </w:pPr>
      <w:r>
        <w:rPr>
          <w:rFonts w:ascii="Arial" w:cs="Arial" w:eastAsia="Arial" w:hAnsi="Arial"/>
          <w:color w:val="1F2937"/>
          <w:sz w:val="22"/>
          <w:szCs w:val="22"/>
        </w:rPr>
        <w:t xml:space="preserve"> </w:t>
      </w:r>
    </w:p>
    <w:p>
      <w:pPr>
        <w:pageBreakBefore/>
        <w:spacing w:after="0" w:before="0" w:line="20"/>
      </w:pPr>
      <w:r>
        <w:rPr>
          <w:sz w:val="2"/>
          <w:szCs w:val="2"/>
        </w:rPr>
        <w:t xml:space="preserve"/>
      </w:r>
    </w:p>
    <w:tbl>
      <w:tblPr>
        <w:tblW w:type="dxa" w:w="9640"/>
        <w:tblBorders>
          <w:top w:val="none" w:color="FFFFFF" w:sz="0"/>
          <w:left w:val="none" w:color="FFFFFF" w:sz="0"/>
          <w:bottom w:val="none" w:color="FFFFFF" w:sz="0"/>
          <w:right w:val="none" w:color="FFFFFF" w:sz="0"/>
          <w:insideH w:val="none" w:color="FFFFFF" w:sz="0"/>
          <w:insideV w:val="none" w:color="FFFFFF" w:sz="0"/>
        </w:tblBorders>
      </w:tblPr>
      <w:tblGrid>
        <w:gridCol w:w="9640"/>
      </w:tblGrid>
      <w:tr>
        <w:trPr>
          <w:cantSplit/>
        </w:trPr>
        <w:tc>
          <w:tcPr>
            <w:tcW w:type="dxa" w:w="9640"/>
            <w:shd w:fill="312E81" w:color="auto" w:val="clear"/>
            <w:tcMar>
              <w:top w:type="dxa" w:w="160"/>
              <w:left w:type="dxa" w:w="240"/>
              <w:bottom w:type="dxa" w:w="160"/>
              <w:right w:type="dxa" w:w="240"/>
            </w:tcMar>
          </w:tcPr>
          <w:p>
            <w:pPr>
              <w:tabs>
                <w:tab w:val="right" w:pos="9160"/>
              </w:tabs>
              <w:spacing w:after="0" w:before="0" w:line="276"/>
            </w:pPr>
            <w:r>
              <w:rPr>
                <w:rFonts w:ascii="Arial" w:cs="Arial" w:eastAsia="Arial" w:hAnsi="Arial"/>
                <w:b/>
                <w:bCs/>
                <w:color w:val="FFFFFF"/>
                <w:sz w:val="22"/>
                <w:szCs w:val="22"/>
              </w:rPr>
              <w:t xml:space="preserve">Section 9</w:t>
            </w:r>
            <w:r>
              <w:rPr>
                <w:rFonts w:ascii="Arial" w:cs="Arial" w:eastAsia="Arial" w:hAnsi="Arial"/>
                <w:b/>
                <w:bCs/>
                <w:color w:val="FFFFFF"/>
                <w:sz w:val="18"/>
                <w:szCs w:val="18"/>
              </w:rPr>
              <w:t xml:space="preserve">	PART B · SECOND-YEAR UNDERGRADUATE LEVEL</w:t>
            </w:r>
          </w:p>
          <w:p>
            <w:pPr>
              <w:spacing w:after="40" w:before="40" w:line="276"/>
            </w:pPr>
            <w:r>
              <w:rPr>
                <w:rFonts w:ascii="Arial" w:cs="Arial" w:eastAsia="Arial" w:hAnsi="Arial"/>
                <w:b/>
                <w:bCs/>
                <w:color w:val="FFFFFF"/>
                <w:sz w:val="32"/>
                <w:szCs w:val="32"/>
              </w:rPr>
              <w:t xml:space="preserve">Linear free-energy relationships: the Hammett equation</w:t>
            </w:r>
          </w:p>
          <w:p>
            <w:pPr>
              <w:spacing w:after="0" w:before="0" w:line="276"/>
            </w:pPr>
            <w:r>
              <w:rPr>
                <w:rFonts w:ascii="Arial" w:cs="Arial" w:eastAsia="Arial" w:hAnsi="Arial"/>
                <w:i/>
                <w:iCs/>
                <w:color w:val="F5F3FF"/>
                <w:sz w:val="21"/>
                <w:szCs w:val="21"/>
              </w:rPr>
              <w:t xml:space="preserve">How chemists quantify 'electron-withdrawing' and 'electron-donating' — and use one number to predict thousands of rate constants.</w:t>
            </w:r>
          </w:p>
        </w:tc>
      </w:tr>
    </w:tbl>
    <w:p>
      <w:pPr>
        <w:spacing w:after="40" w:before="0" w:line="276"/>
      </w:pPr>
      <w:r>
        <w:rPr>
          <w:rFonts w:ascii="Arial" w:cs="Arial" w:eastAsia="Arial" w:hAnsi="Arial"/>
          <w:color w:val="1F2937"/>
          <w:sz w:val="22"/>
          <w:szCs w:val="22"/>
        </w:rPr>
        <w:t xml:space="preserve"> </w:t>
      </w:r>
    </w:p>
    <w:tbl>
      <w:tblPr>
        <w:tblW w:type="dxa" w:w="9640"/>
        <w:tblBorders>
          <w:top w:val="single" w:color="14B8A6" w:sz="8"/>
          <w:left w:val="single" w:color="14B8A6" w:sz="8"/>
          <w:bottom w:val="single" w:color="14B8A6" w:sz="8"/>
          <w:right w:val="single" w:color="14B8A6" w:sz="8"/>
          <w:insideH w:val="single" w:color="14B8A6" w:sz="8"/>
          <w:insideV w:val="single" w:color="14B8A6" w:sz="8"/>
        </w:tblBorders>
      </w:tblPr>
      <w:tblGrid>
        <w:gridCol w:w="9640"/>
      </w:tblGrid>
      <w:tr>
        <w:trPr>
          <w:cantSplit/>
        </w:trPr>
        <w:tc>
          <w:tcPr>
            <w:tcW w:type="dxa" w:w="9640"/>
            <w:shd w:fill="CCFBF1" w:color="auto" w:val="clear"/>
            <w:tcMar>
              <w:top w:type="dxa" w:w="100"/>
              <w:left w:type="dxa" w:w="160"/>
              <w:bottom w:type="dxa" w:w="100"/>
              <w:right w:type="dxa" w:w="160"/>
            </w:tcMar>
          </w:tcPr>
          <w:p>
            <w:pPr>
              <w:spacing w:after="40" w:before="0" w:line="276"/>
            </w:pPr>
            <w:r>
              <w:rPr>
                <w:rFonts w:ascii="Arial" w:cs="Arial" w:eastAsia="Arial" w:hAnsi="Arial"/>
                <w:b/>
                <w:bCs/>
                <w:color w:val="0F766E"/>
                <w:sz w:val="22"/>
                <w:szCs w:val="22"/>
              </w:rPr>
              <w:t xml:space="preserve">Key facts</w:t>
            </w:r>
          </w:p>
          <w:p>
            <w:pPr>
              <w:spacing w:after="20" w:before="20" w:line="276"/>
            </w:pPr>
            <w:r>
              <w:rPr>
                <w:rFonts w:ascii="Arial" w:cs="Arial" w:eastAsia="Arial" w:hAnsi="Arial"/>
                <w:color w:val="1F2937"/>
                <w:sz w:val="21"/>
                <w:szCs w:val="21"/>
              </w:rPr>
              <w:t xml:space="preserve">•  Hammett (1937): log(k/k₀) = ρσ (or log(K/K₀) = ρσ). σ measures the SUBSTITUENT (defined from the ionisation of substituted benzoic acids in water at 25 °C, ρ = 1); ρ measures the REACTION's sensitivity to substituents.</w:t>
            </w:r>
          </w:p>
          <w:p>
            <w:pPr>
              <w:spacing w:after="20" w:before="20" w:line="276"/>
            </w:pPr>
            <w:r>
              <w:rPr>
                <w:rFonts w:ascii="Arial" w:cs="Arial" w:eastAsia="Arial" w:hAnsi="Arial"/>
                <w:color w:val="1F2937"/>
                <w:sz w:val="21"/>
                <w:szCs w:val="21"/>
              </w:rPr>
              <w:t xml:space="preserve">•  σ &gt; 0: electron-withdrawing (NO₂, CN, Cl). σ &lt; 0: electron-donating (OCH₃, NH₂, CH₃). σₘ ≠ σₚ because resonance donation/withdrawal reaches the para position but not the meta position.</w:t>
            </w:r>
          </w:p>
          <w:p>
            <w:pPr>
              <w:spacing w:after="20" w:before="20" w:line="276"/>
            </w:pPr>
            <w:r>
              <w:rPr>
                <w:rFonts w:ascii="Arial" w:cs="Arial" w:eastAsia="Arial" w:hAnsi="Arial"/>
                <w:color w:val="1F2937"/>
                <w:sz w:val="21"/>
                <w:szCs w:val="21"/>
              </w:rPr>
              <w:t xml:space="preserve">•  ρ &gt; 0: negative charge builds up in the transition state (helped by EWGs) — e.g. alkaline ester hydrolysis, ρ = +2.5. ρ &lt; 0: positive charge builds up — electrophilic aromatic substitution: nitration ρ ≈ −6, Friedel–Crafts acetylation ≈ −9, bromination ≈ −12.</w:t>
            </w:r>
          </w:p>
          <w:p>
            <w:pPr>
              <w:spacing w:after="20" w:before="20" w:line="276"/>
            </w:pPr>
            <w:r>
              <w:rPr>
                <w:rFonts w:ascii="Arial" w:cs="Arial" w:eastAsia="Arial" w:hAnsi="Arial"/>
                <w:color w:val="1F2937"/>
                <w:sz w:val="21"/>
                <w:szCs w:val="21"/>
              </w:rPr>
              <w:t xml:space="preserve">•  For EAS, strong +M groups react far faster than ordinary σₚ predicts because the lone pair conjugates DIRECTLY with the developing positive charge. Brown &amp; Okamoto's σ⁺ constants (from the solvolysis of cumyl chlorides) fix this: σₚ⁺(OCH₃) = −0.78, σₚ⁺(CH₃) = −0.31, σₚ⁺(NH₂) = −1.30.</w:t>
            </w:r>
          </w:p>
          <w:p>
            <w:pPr>
              <w:spacing w:after="20" w:before="20" w:line="276"/>
            </w:pPr>
            <w:r>
              <w:rPr>
                <w:rFonts w:ascii="Arial" w:cs="Arial" w:eastAsia="Arial" w:hAnsi="Arial"/>
                <w:color w:val="1F2937"/>
                <w:sz w:val="21"/>
                <w:szCs w:val="21"/>
              </w:rPr>
              <w:t xml:space="preserve">•  Selectivity relationship (Brown): Sf = log(pf / mf), where pf and mf are the para and meta partial rate factors. A more reactive electrophile is LESS selective (reactivity–selectivity principle): nitration of toluene Sf = log(58/2.5) = 1.37; bromination Sf = log(2420/5.5) = 2.64.</w:t>
            </w:r>
          </w:p>
        </w:tc>
      </w:tr>
    </w:tbl>
    <w:tbl>
      <w:tblPr>
        <w:tblW w:type="dxa" w:w="9640"/>
        <w:tblBorders>
          <w:top w:val="single" w:color="CBD5E1" w:sz="6"/>
          <w:left w:val="single" w:color="CBD5E1" w:sz="6"/>
          <w:bottom w:val="single" w:color="CBD5E1" w:sz="6"/>
          <w:right w:val="single" w:color="CBD5E1" w:sz="6"/>
          <w:insideH w:val="single" w:color="CBD5E1" w:sz="6"/>
          <w:insideV w:val="single" w:color="CBD5E1" w:sz="6"/>
        </w:tblBorders>
      </w:tblPr>
      <w:tblGrid>
        <w:gridCol w:w="1740"/>
        <w:gridCol w:w="1160"/>
        <w:gridCol w:w="1160"/>
        <w:gridCol w:w="1160"/>
        <w:gridCol w:w="4421"/>
      </w:tblGrid>
      <w:tr>
        <w:trPr>
          <w:tblHeader/>
        </w:trPr>
        <w:tc>
          <w:tcPr>
            <w:tcW w:type="dxa" w:w="1740"/>
            <w:shd w:fill="312E81" w:color="auto" w:val="clear"/>
            <w:tcMar>
              <w:top w:type="dxa" w:w="60"/>
              <w:left w:type="dxa" w:w="100"/>
              <w:bottom w:type="dxa" w:w="60"/>
              <w:right w:type="dxa" w:w="100"/>
            </w:tcMar>
            <w:vAlign w:val="center"/>
          </w:tcPr>
          <w:p>
            <w:pPr>
              <w:spacing w:after="0" w:before="0" w:line="276"/>
            </w:pPr>
            <w:r>
              <w:rPr>
                <w:rFonts w:ascii="Arial" w:cs="Arial" w:eastAsia="Arial" w:hAnsi="Arial"/>
                <w:b/>
                <w:bCs/>
                <w:color w:val="FFFFFF"/>
                <w:sz w:val="20"/>
                <w:szCs w:val="20"/>
              </w:rPr>
              <w:t xml:space="preserve">Substituent</w:t>
            </w:r>
          </w:p>
        </w:tc>
        <w:tc>
          <w:tcPr>
            <w:tcW w:type="dxa" w:w="1160"/>
            <w:shd w:fill="312E81" w:color="auto" w:val="clear"/>
            <w:tcMar>
              <w:top w:type="dxa" w:w="60"/>
              <w:left w:type="dxa" w:w="100"/>
              <w:bottom w:type="dxa" w:w="60"/>
              <w:right w:type="dxa" w:w="100"/>
            </w:tcMar>
            <w:vAlign w:val="center"/>
          </w:tcPr>
          <w:p>
            <w:pPr>
              <w:spacing w:after="0" w:before="0" w:line="276"/>
            </w:pPr>
            <w:r>
              <w:rPr>
                <w:rFonts w:ascii="Arial" w:cs="Arial" w:eastAsia="Arial" w:hAnsi="Arial"/>
                <w:b/>
                <w:bCs/>
                <w:color w:val="FFFFFF"/>
                <w:sz w:val="20"/>
                <w:szCs w:val="20"/>
              </w:rPr>
              <w:t xml:space="preserve">σₘ</w:t>
            </w:r>
          </w:p>
        </w:tc>
        <w:tc>
          <w:tcPr>
            <w:tcW w:type="dxa" w:w="1160"/>
            <w:shd w:fill="312E81" w:color="auto" w:val="clear"/>
            <w:tcMar>
              <w:top w:type="dxa" w:w="60"/>
              <w:left w:type="dxa" w:w="100"/>
              <w:bottom w:type="dxa" w:w="60"/>
              <w:right w:type="dxa" w:w="100"/>
            </w:tcMar>
            <w:vAlign w:val="center"/>
          </w:tcPr>
          <w:p>
            <w:pPr>
              <w:spacing w:after="0" w:before="0" w:line="276"/>
            </w:pPr>
            <w:r>
              <w:rPr>
                <w:rFonts w:ascii="Arial" w:cs="Arial" w:eastAsia="Arial" w:hAnsi="Arial"/>
                <w:b/>
                <w:bCs/>
                <w:color w:val="FFFFFF"/>
                <w:sz w:val="20"/>
                <w:szCs w:val="20"/>
              </w:rPr>
              <w:t xml:space="preserve">σₚ</w:t>
            </w:r>
          </w:p>
        </w:tc>
        <w:tc>
          <w:tcPr>
            <w:tcW w:type="dxa" w:w="1160"/>
            <w:shd w:fill="312E81" w:color="auto" w:val="clear"/>
            <w:tcMar>
              <w:top w:type="dxa" w:w="60"/>
              <w:left w:type="dxa" w:w="100"/>
              <w:bottom w:type="dxa" w:w="60"/>
              <w:right w:type="dxa" w:w="100"/>
            </w:tcMar>
            <w:vAlign w:val="center"/>
          </w:tcPr>
          <w:p>
            <w:pPr>
              <w:spacing w:after="0" w:before="0" w:line="276"/>
            </w:pPr>
            <w:r>
              <w:rPr>
                <w:rFonts w:ascii="Arial" w:cs="Arial" w:eastAsia="Arial" w:hAnsi="Arial"/>
                <w:b/>
                <w:bCs/>
                <w:color w:val="FFFFFF"/>
                <w:sz w:val="20"/>
                <w:szCs w:val="20"/>
              </w:rPr>
              <w:t xml:space="preserve">σₚ⁺</w:t>
            </w:r>
          </w:p>
        </w:tc>
        <w:tc>
          <w:tcPr>
            <w:tcW w:type="dxa" w:w="4421"/>
            <w:shd w:fill="312E81" w:color="auto" w:val="clear"/>
            <w:tcMar>
              <w:top w:type="dxa" w:w="60"/>
              <w:left w:type="dxa" w:w="100"/>
              <w:bottom w:type="dxa" w:w="60"/>
              <w:right w:type="dxa" w:w="100"/>
            </w:tcMar>
            <w:vAlign w:val="center"/>
          </w:tcPr>
          <w:p>
            <w:pPr>
              <w:spacing w:after="0" w:before="0" w:line="276"/>
            </w:pPr>
            <w:r>
              <w:rPr>
                <w:rFonts w:ascii="Arial" w:cs="Arial" w:eastAsia="Arial" w:hAnsi="Arial"/>
                <w:b/>
                <w:bCs/>
                <w:color w:val="FFFFFF"/>
                <w:sz w:val="20"/>
                <w:szCs w:val="20"/>
              </w:rPr>
              <w:t xml:space="preserve">Comment</w:t>
            </w:r>
          </w:p>
        </w:tc>
      </w:tr>
      <w:tr>
        <w:tc>
          <w:tcPr>
            <w:tcW w:type="dxa" w:w="1740"/>
            <w:shd w:fill="F1F5F9" w:color="auto" w:val="clear"/>
            <w:tcMar>
              <w:top w:type="dxa" w:w="60"/>
              <w:left w:type="dxa" w:w="100"/>
              <w:bottom w:type="dxa" w:w="60"/>
              <w:right w:type="dxa" w:w="100"/>
            </w:tcMar>
            <w:vAlign w:val="center"/>
          </w:tcPr>
          <w:p>
            <w:pPr>
              <w:spacing w:after="0" w:before="0" w:line="276"/>
            </w:pPr>
            <w:r>
              <w:rPr>
                <w:rFonts w:ascii="Arial" w:cs="Arial" w:eastAsia="Arial" w:hAnsi="Arial"/>
                <w:b/>
                <w:bCs/>
                <w:color w:val="1F2937"/>
                <w:sz w:val="20"/>
                <w:szCs w:val="20"/>
              </w:rPr>
              <w:t xml:space="preserve">–NO₂</w:t>
            </w:r>
          </w:p>
        </w:tc>
        <w:tc>
          <w:tcPr>
            <w:tcW w:type="dxa" w:w="1160"/>
            <w:shd w:fill="FFFFFF" w:color="auto" w:val="clear"/>
            <w:tcMar>
              <w:top w:type="dxa" w:w="60"/>
              <w:left w:type="dxa" w:w="100"/>
              <w:bottom w:type="dxa" w:w="60"/>
              <w:right w:type="dxa" w:w="100"/>
            </w:tcMar>
            <w:vAlign w:val="center"/>
          </w:tcPr>
          <w:p>
            <w:pPr>
              <w:spacing w:after="0" w:before="0" w:line="276"/>
            </w:pPr>
            <w:r>
              <w:rPr>
                <w:rFonts w:ascii="Arial" w:cs="Arial" w:eastAsia="Arial" w:hAnsi="Arial"/>
                <w:b w:val="false"/>
                <w:bCs w:val="false"/>
                <w:color w:val="1F2937"/>
                <w:sz w:val="20"/>
                <w:szCs w:val="20"/>
              </w:rPr>
              <w:t xml:space="preserve">+0.71</w:t>
            </w:r>
          </w:p>
        </w:tc>
        <w:tc>
          <w:tcPr>
            <w:tcW w:type="dxa" w:w="1160"/>
            <w:shd w:fill="FFFFFF" w:color="auto" w:val="clear"/>
            <w:tcMar>
              <w:top w:type="dxa" w:w="60"/>
              <w:left w:type="dxa" w:w="100"/>
              <w:bottom w:type="dxa" w:w="60"/>
              <w:right w:type="dxa" w:w="100"/>
            </w:tcMar>
            <w:vAlign w:val="center"/>
          </w:tcPr>
          <w:p>
            <w:pPr>
              <w:spacing w:after="0" w:before="0" w:line="276"/>
            </w:pPr>
            <w:r>
              <w:rPr>
                <w:rFonts w:ascii="Arial" w:cs="Arial" w:eastAsia="Arial" w:hAnsi="Arial"/>
                <w:b w:val="false"/>
                <w:bCs w:val="false"/>
                <w:color w:val="1F2937"/>
                <w:sz w:val="20"/>
                <w:szCs w:val="20"/>
              </w:rPr>
              <w:t xml:space="preserve">+0.78</w:t>
            </w:r>
          </w:p>
        </w:tc>
        <w:tc>
          <w:tcPr>
            <w:tcW w:type="dxa" w:w="1160"/>
            <w:shd w:fill="FFFFFF" w:color="auto" w:val="clear"/>
            <w:tcMar>
              <w:top w:type="dxa" w:w="60"/>
              <w:left w:type="dxa" w:w="100"/>
              <w:bottom w:type="dxa" w:w="60"/>
              <w:right w:type="dxa" w:w="100"/>
            </w:tcMar>
            <w:vAlign w:val="center"/>
          </w:tcPr>
          <w:p>
            <w:pPr>
              <w:spacing w:after="0" w:before="0" w:line="276"/>
            </w:pPr>
            <w:r>
              <w:rPr>
                <w:rFonts w:ascii="Arial" w:cs="Arial" w:eastAsia="Arial" w:hAnsi="Arial"/>
                <w:b w:val="false"/>
                <w:bCs w:val="false"/>
                <w:color w:val="1F2937"/>
                <w:sz w:val="20"/>
                <w:szCs w:val="20"/>
              </w:rPr>
              <w:t xml:space="preserve">+0.79</w:t>
            </w:r>
          </w:p>
        </w:tc>
        <w:tc>
          <w:tcPr>
            <w:tcW w:type="dxa" w:w="4421"/>
            <w:shd w:fill="FFFFFF" w:color="auto" w:val="clear"/>
            <w:tcMar>
              <w:top w:type="dxa" w:w="60"/>
              <w:left w:type="dxa" w:w="100"/>
              <w:bottom w:type="dxa" w:w="60"/>
              <w:right w:type="dxa" w:w="100"/>
            </w:tcMar>
            <w:vAlign w:val="center"/>
          </w:tcPr>
          <w:p>
            <w:pPr>
              <w:spacing w:after="0" w:before="0" w:line="276"/>
            </w:pPr>
            <w:r>
              <w:rPr>
                <w:rFonts w:ascii="Arial" w:cs="Arial" w:eastAsia="Arial" w:hAnsi="Arial"/>
                <w:b w:val="false"/>
                <w:bCs w:val="false"/>
                <w:color w:val="1F2937"/>
                <w:sz w:val="20"/>
                <w:szCs w:val="20"/>
              </w:rPr>
              <w:t xml:space="preserve">−I and −M</w:t>
            </w:r>
          </w:p>
        </w:tc>
      </w:tr>
      <w:tr>
        <w:tc>
          <w:tcPr>
            <w:tcW w:type="dxa" w:w="1740"/>
            <w:shd w:fill="F1F5F9" w:color="auto" w:val="clear"/>
            <w:tcMar>
              <w:top w:type="dxa" w:w="60"/>
              <w:left w:type="dxa" w:w="100"/>
              <w:bottom w:type="dxa" w:w="60"/>
              <w:right w:type="dxa" w:w="100"/>
            </w:tcMar>
            <w:vAlign w:val="center"/>
          </w:tcPr>
          <w:p>
            <w:pPr>
              <w:spacing w:after="0" w:before="0" w:line="276"/>
            </w:pPr>
            <w:r>
              <w:rPr>
                <w:rFonts w:ascii="Arial" w:cs="Arial" w:eastAsia="Arial" w:hAnsi="Arial"/>
                <w:b/>
                <w:bCs/>
                <w:color w:val="1F2937"/>
                <w:sz w:val="20"/>
                <w:szCs w:val="20"/>
              </w:rPr>
              <w:t xml:space="preserve">–CN</w:t>
            </w:r>
          </w:p>
        </w:tc>
        <w:tc>
          <w:tcPr>
            <w:tcW w:type="dxa" w:w="1160"/>
            <w:shd w:fill="FFFFFF" w:color="auto" w:val="clear"/>
            <w:tcMar>
              <w:top w:type="dxa" w:w="60"/>
              <w:left w:type="dxa" w:w="100"/>
              <w:bottom w:type="dxa" w:w="60"/>
              <w:right w:type="dxa" w:w="100"/>
            </w:tcMar>
            <w:vAlign w:val="center"/>
          </w:tcPr>
          <w:p>
            <w:pPr>
              <w:spacing w:after="0" w:before="0" w:line="276"/>
            </w:pPr>
            <w:r>
              <w:rPr>
                <w:rFonts w:ascii="Arial" w:cs="Arial" w:eastAsia="Arial" w:hAnsi="Arial"/>
                <w:b w:val="false"/>
                <w:bCs w:val="false"/>
                <w:color w:val="1F2937"/>
                <w:sz w:val="20"/>
                <w:szCs w:val="20"/>
              </w:rPr>
              <w:t xml:space="preserve">+0.56</w:t>
            </w:r>
          </w:p>
        </w:tc>
        <w:tc>
          <w:tcPr>
            <w:tcW w:type="dxa" w:w="1160"/>
            <w:shd w:fill="FFFFFF" w:color="auto" w:val="clear"/>
            <w:tcMar>
              <w:top w:type="dxa" w:w="60"/>
              <w:left w:type="dxa" w:w="100"/>
              <w:bottom w:type="dxa" w:w="60"/>
              <w:right w:type="dxa" w:w="100"/>
            </w:tcMar>
            <w:vAlign w:val="center"/>
          </w:tcPr>
          <w:p>
            <w:pPr>
              <w:spacing w:after="0" w:before="0" w:line="276"/>
            </w:pPr>
            <w:r>
              <w:rPr>
                <w:rFonts w:ascii="Arial" w:cs="Arial" w:eastAsia="Arial" w:hAnsi="Arial"/>
                <w:b w:val="false"/>
                <w:bCs w:val="false"/>
                <w:color w:val="1F2937"/>
                <w:sz w:val="20"/>
                <w:szCs w:val="20"/>
              </w:rPr>
              <w:t xml:space="preserve">+0.66</w:t>
            </w:r>
          </w:p>
        </w:tc>
        <w:tc>
          <w:tcPr>
            <w:tcW w:type="dxa" w:w="1160"/>
            <w:shd w:fill="FFFFFF" w:color="auto" w:val="clear"/>
            <w:tcMar>
              <w:top w:type="dxa" w:w="60"/>
              <w:left w:type="dxa" w:w="100"/>
              <w:bottom w:type="dxa" w:w="60"/>
              <w:right w:type="dxa" w:w="100"/>
            </w:tcMar>
            <w:vAlign w:val="center"/>
          </w:tcPr>
          <w:p>
            <w:pPr>
              <w:spacing w:after="0" w:before="0" w:line="276"/>
            </w:pPr>
            <w:r>
              <w:rPr>
                <w:rFonts w:ascii="Arial" w:cs="Arial" w:eastAsia="Arial" w:hAnsi="Arial"/>
                <w:b w:val="false"/>
                <w:bCs w:val="false"/>
                <w:color w:val="1F2937"/>
                <w:sz w:val="20"/>
                <w:szCs w:val="20"/>
              </w:rPr>
              <w:t xml:space="preserve">+0.66</w:t>
            </w:r>
          </w:p>
        </w:tc>
        <w:tc>
          <w:tcPr>
            <w:tcW w:type="dxa" w:w="4421"/>
            <w:shd w:fill="FFFFFF" w:color="auto" w:val="clear"/>
            <w:tcMar>
              <w:top w:type="dxa" w:w="60"/>
              <w:left w:type="dxa" w:w="100"/>
              <w:bottom w:type="dxa" w:w="60"/>
              <w:right w:type="dxa" w:w="100"/>
            </w:tcMar>
            <w:vAlign w:val="center"/>
          </w:tcPr>
          <w:p>
            <w:pPr>
              <w:spacing w:after="0" w:before="0" w:line="276"/>
            </w:pPr>
            <w:r>
              <w:rPr>
                <w:rFonts w:ascii="Arial" w:cs="Arial" w:eastAsia="Arial" w:hAnsi="Arial"/>
                <w:b w:val="false"/>
                <w:bCs w:val="false"/>
                <w:color w:val="1F2937"/>
                <w:sz w:val="20"/>
                <w:szCs w:val="20"/>
              </w:rPr>
              <w:t xml:space="preserve">−I and −M</w:t>
            </w:r>
          </w:p>
        </w:tc>
      </w:tr>
      <w:tr>
        <w:tc>
          <w:tcPr>
            <w:tcW w:type="dxa" w:w="1740"/>
            <w:shd w:fill="F1F5F9" w:color="auto" w:val="clear"/>
            <w:tcMar>
              <w:top w:type="dxa" w:w="60"/>
              <w:left w:type="dxa" w:w="100"/>
              <w:bottom w:type="dxa" w:w="60"/>
              <w:right w:type="dxa" w:w="100"/>
            </w:tcMar>
            <w:vAlign w:val="center"/>
          </w:tcPr>
          <w:p>
            <w:pPr>
              <w:spacing w:after="0" w:before="0" w:line="276"/>
            </w:pPr>
            <w:r>
              <w:rPr>
                <w:rFonts w:ascii="Arial" w:cs="Arial" w:eastAsia="Arial" w:hAnsi="Arial"/>
                <w:b/>
                <w:bCs/>
                <w:color w:val="1F2937"/>
                <w:sz w:val="20"/>
                <w:szCs w:val="20"/>
              </w:rPr>
              <w:t xml:space="preserve">–CF₃</w:t>
            </w:r>
          </w:p>
        </w:tc>
        <w:tc>
          <w:tcPr>
            <w:tcW w:type="dxa" w:w="1160"/>
            <w:shd w:fill="FFFFFF" w:color="auto" w:val="clear"/>
            <w:tcMar>
              <w:top w:type="dxa" w:w="60"/>
              <w:left w:type="dxa" w:w="100"/>
              <w:bottom w:type="dxa" w:w="60"/>
              <w:right w:type="dxa" w:w="100"/>
            </w:tcMar>
            <w:vAlign w:val="center"/>
          </w:tcPr>
          <w:p>
            <w:pPr>
              <w:spacing w:after="0" w:before="0" w:line="276"/>
            </w:pPr>
            <w:r>
              <w:rPr>
                <w:rFonts w:ascii="Arial" w:cs="Arial" w:eastAsia="Arial" w:hAnsi="Arial"/>
                <w:b w:val="false"/>
                <w:bCs w:val="false"/>
                <w:color w:val="1F2937"/>
                <w:sz w:val="20"/>
                <w:szCs w:val="20"/>
              </w:rPr>
              <w:t xml:space="preserve">+0.43</w:t>
            </w:r>
          </w:p>
        </w:tc>
        <w:tc>
          <w:tcPr>
            <w:tcW w:type="dxa" w:w="1160"/>
            <w:shd w:fill="FFFFFF" w:color="auto" w:val="clear"/>
            <w:tcMar>
              <w:top w:type="dxa" w:w="60"/>
              <w:left w:type="dxa" w:w="100"/>
              <w:bottom w:type="dxa" w:w="60"/>
              <w:right w:type="dxa" w:w="100"/>
            </w:tcMar>
            <w:vAlign w:val="center"/>
          </w:tcPr>
          <w:p>
            <w:pPr>
              <w:spacing w:after="0" w:before="0" w:line="276"/>
            </w:pPr>
            <w:r>
              <w:rPr>
                <w:rFonts w:ascii="Arial" w:cs="Arial" w:eastAsia="Arial" w:hAnsi="Arial"/>
                <w:b w:val="false"/>
                <w:bCs w:val="false"/>
                <w:color w:val="1F2937"/>
                <w:sz w:val="20"/>
                <w:szCs w:val="20"/>
              </w:rPr>
              <w:t xml:space="preserve">+0.54</w:t>
            </w:r>
          </w:p>
        </w:tc>
        <w:tc>
          <w:tcPr>
            <w:tcW w:type="dxa" w:w="1160"/>
            <w:shd w:fill="FFFFFF" w:color="auto" w:val="clear"/>
            <w:tcMar>
              <w:top w:type="dxa" w:w="60"/>
              <w:left w:type="dxa" w:w="100"/>
              <w:bottom w:type="dxa" w:w="60"/>
              <w:right w:type="dxa" w:w="100"/>
            </w:tcMar>
            <w:vAlign w:val="center"/>
          </w:tcPr>
          <w:p>
            <w:pPr>
              <w:spacing w:after="0" w:before="0" w:line="276"/>
            </w:pPr>
            <w:r>
              <w:rPr>
                <w:rFonts w:ascii="Arial" w:cs="Arial" w:eastAsia="Arial" w:hAnsi="Arial"/>
                <w:b w:val="false"/>
                <w:bCs w:val="false"/>
                <w:color w:val="1F2937"/>
                <w:sz w:val="20"/>
                <w:szCs w:val="20"/>
              </w:rPr>
              <w:t xml:space="preserve">+0.61</w:t>
            </w:r>
          </w:p>
        </w:tc>
        <w:tc>
          <w:tcPr>
            <w:tcW w:type="dxa" w:w="4421"/>
            <w:shd w:fill="FFFFFF" w:color="auto" w:val="clear"/>
            <w:tcMar>
              <w:top w:type="dxa" w:w="60"/>
              <w:left w:type="dxa" w:w="100"/>
              <w:bottom w:type="dxa" w:w="60"/>
              <w:right w:type="dxa" w:w="100"/>
            </w:tcMar>
            <w:vAlign w:val="center"/>
          </w:tcPr>
          <w:p>
            <w:pPr>
              <w:spacing w:after="0" w:before="0" w:line="276"/>
            </w:pPr>
            <w:r>
              <w:rPr>
                <w:rFonts w:ascii="Arial" w:cs="Arial" w:eastAsia="Arial" w:hAnsi="Arial"/>
                <w:b w:val="false"/>
                <w:bCs w:val="false"/>
                <w:color w:val="1F2937"/>
                <w:sz w:val="20"/>
                <w:szCs w:val="20"/>
              </w:rPr>
              <w:t xml:space="preserve">−I only</w:t>
            </w:r>
          </w:p>
        </w:tc>
      </w:tr>
      <w:tr>
        <w:tc>
          <w:tcPr>
            <w:tcW w:type="dxa" w:w="1740"/>
            <w:shd w:fill="F1F5F9" w:color="auto" w:val="clear"/>
            <w:tcMar>
              <w:top w:type="dxa" w:w="60"/>
              <w:left w:type="dxa" w:w="100"/>
              <w:bottom w:type="dxa" w:w="60"/>
              <w:right w:type="dxa" w:w="100"/>
            </w:tcMar>
            <w:vAlign w:val="center"/>
          </w:tcPr>
          <w:p>
            <w:pPr>
              <w:spacing w:after="0" w:before="0" w:line="276"/>
            </w:pPr>
            <w:r>
              <w:rPr>
                <w:rFonts w:ascii="Arial" w:cs="Arial" w:eastAsia="Arial" w:hAnsi="Arial"/>
                <w:b/>
                <w:bCs/>
                <w:color w:val="1F2937"/>
                <w:sz w:val="20"/>
                <w:szCs w:val="20"/>
              </w:rPr>
              <w:t xml:space="preserve">–Cl</w:t>
            </w:r>
          </w:p>
        </w:tc>
        <w:tc>
          <w:tcPr>
            <w:tcW w:type="dxa" w:w="1160"/>
            <w:shd w:fill="FFFFFF" w:color="auto" w:val="clear"/>
            <w:tcMar>
              <w:top w:type="dxa" w:w="60"/>
              <w:left w:type="dxa" w:w="100"/>
              <w:bottom w:type="dxa" w:w="60"/>
              <w:right w:type="dxa" w:w="100"/>
            </w:tcMar>
            <w:vAlign w:val="center"/>
          </w:tcPr>
          <w:p>
            <w:pPr>
              <w:spacing w:after="0" w:before="0" w:line="276"/>
            </w:pPr>
            <w:r>
              <w:rPr>
                <w:rFonts w:ascii="Arial" w:cs="Arial" w:eastAsia="Arial" w:hAnsi="Arial"/>
                <w:b w:val="false"/>
                <w:bCs w:val="false"/>
                <w:color w:val="1F2937"/>
                <w:sz w:val="20"/>
                <w:szCs w:val="20"/>
              </w:rPr>
              <w:t xml:space="preserve">+0.37</w:t>
            </w:r>
          </w:p>
        </w:tc>
        <w:tc>
          <w:tcPr>
            <w:tcW w:type="dxa" w:w="1160"/>
            <w:shd w:fill="FFFFFF" w:color="auto" w:val="clear"/>
            <w:tcMar>
              <w:top w:type="dxa" w:w="60"/>
              <w:left w:type="dxa" w:w="100"/>
              <w:bottom w:type="dxa" w:w="60"/>
              <w:right w:type="dxa" w:w="100"/>
            </w:tcMar>
            <w:vAlign w:val="center"/>
          </w:tcPr>
          <w:p>
            <w:pPr>
              <w:spacing w:after="0" w:before="0" w:line="276"/>
            </w:pPr>
            <w:r>
              <w:rPr>
                <w:rFonts w:ascii="Arial" w:cs="Arial" w:eastAsia="Arial" w:hAnsi="Arial"/>
                <w:b w:val="false"/>
                <w:bCs w:val="false"/>
                <w:color w:val="1F2937"/>
                <w:sz w:val="20"/>
                <w:szCs w:val="20"/>
              </w:rPr>
              <w:t xml:space="preserve">+0.23</w:t>
            </w:r>
          </w:p>
        </w:tc>
        <w:tc>
          <w:tcPr>
            <w:tcW w:type="dxa" w:w="1160"/>
            <w:shd w:fill="FFFFFF" w:color="auto" w:val="clear"/>
            <w:tcMar>
              <w:top w:type="dxa" w:w="60"/>
              <w:left w:type="dxa" w:w="100"/>
              <w:bottom w:type="dxa" w:w="60"/>
              <w:right w:type="dxa" w:w="100"/>
            </w:tcMar>
            <w:vAlign w:val="center"/>
          </w:tcPr>
          <w:p>
            <w:pPr>
              <w:spacing w:after="0" w:before="0" w:line="276"/>
            </w:pPr>
            <w:r>
              <w:rPr>
                <w:rFonts w:ascii="Arial" w:cs="Arial" w:eastAsia="Arial" w:hAnsi="Arial"/>
                <w:b w:val="false"/>
                <w:bCs w:val="false"/>
                <w:color w:val="1F2937"/>
                <w:sz w:val="20"/>
                <w:szCs w:val="20"/>
              </w:rPr>
              <w:t xml:space="preserve">+0.11</w:t>
            </w:r>
          </w:p>
        </w:tc>
        <w:tc>
          <w:tcPr>
            <w:tcW w:type="dxa" w:w="4421"/>
            <w:shd w:fill="FFFFFF" w:color="auto" w:val="clear"/>
            <w:tcMar>
              <w:top w:type="dxa" w:w="60"/>
              <w:left w:type="dxa" w:w="100"/>
              <w:bottom w:type="dxa" w:w="60"/>
              <w:right w:type="dxa" w:w="100"/>
            </w:tcMar>
            <w:vAlign w:val="center"/>
          </w:tcPr>
          <w:p>
            <w:pPr>
              <w:spacing w:after="0" w:before="0" w:line="276"/>
            </w:pPr>
            <w:r>
              <w:rPr>
                <w:rFonts w:ascii="Arial" w:cs="Arial" w:eastAsia="Arial" w:hAnsi="Arial"/>
                <w:b w:val="false"/>
                <w:bCs w:val="false"/>
                <w:color w:val="1F2937"/>
                <w:sz w:val="20"/>
                <w:szCs w:val="20"/>
              </w:rPr>
              <w:t xml:space="preserve">−I &gt; +M</w:t>
            </w:r>
          </w:p>
        </w:tc>
      </w:tr>
      <w:tr>
        <w:tc>
          <w:tcPr>
            <w:tcW w:type="dxa" w:w="1740"/>
            <w:shd w:fill="F1F5F9" w:color="auto" w:val="clear"/>
            <w:tcMar>
              <w:top w:type="dxa" w:w="60"/>
              <w:left w:type="dxa" w:w="100"/>
              <w:bottom w:type="dxa" w:w="60"/>
              <w:right w:type="dxa" w:w="100"/>
            </w:tcMar>
            <w:vAlign w:val="center"/>
          </w:tcPr>
          <w:p>
            <w:pPr>
              <w:spacing w:after="0" w:before="0" w:line="276"/>
            </w:pPr>
            <w:r>
              <w:rPr>
                <w:rFonts w:ascii="Arial" w:cs="Arial" w:eastAsia="Arial" w:hAnsi="Arial"/>
                <w:b/>
                <w:bCs/>
                <w:color w:val="1F2937"/>
                <w:sz w:val="20"/>
                <w:szCs w:val="20"/>
              </w:rPr>
              <w:t xml:space="preserve">–F</w:t>
            </w:r>
          </w:p>
        </w:tc>
        <w:tc>
          <w:tcPr>
            <w:tcW w:type="dxa" w:w="1160"/>
            <w:shd w:fill="FFFFFF" w:color="auto" w:val="clear"/>
            <w:tcMar>
              <w:top w:type="dxa" w:w="60"/>
              <w:left w:type="dxa" w:w="100"/>
              <w:bottom w:type="dxa" w:w="60"/>
              <w:right w:type="dxa" w:w="100"/>
            </w:tcMar>
            <w:vAlign w:val="center"/>
          </w:tcPr>
          <w:p>
            <w:pPr>
              <w:spacing w:after="0" w:before="0" w:line="276"/>
            </w:pPr>
            <w:r>
              <w:rPr>
                <w:rFonts w:ascii="Arial" w:cs="Arial" w:eastAsia="Arial" w:hAnsi="Arial"/>
                <w:b w:val="false"/>
                <w:bCs w:val="false"/>
                <w:color w:val="1F2937"/>
                <w:sz w:val="20"/>
                <w:szCs w:val="20"/>
              </w:rPr>
              <w:t xml:space="preserve">+0.34</w:t>
            </w:r>
          </w:p>
        </w:tc>
        <w:tc>
          <w:tcPr>
            <w:tcW w:type="dxa" w:w="1160"/>
            <w:shd w:fill="FFFFFF" w:color="auto" w:val="clear"/>
            <w:tcMar>
              <w:top w:type="dxa" w:w="60"/>
              <w:left w:type="dxa" w:w="100"/>
              <w:bottom w:type="dxa" w:w="60"/>
              <w:right w:type="dxa" w:w="100"/>
            </w:tcMar>
            <w:vAlign w:val="center"/>
          </w:tcPr>
          <w:p>
            <w:pPr>
              <w:spacing w:after="0" w:before="0" w:line="276"/>
            </w:pPr>
            <w:r>
              <w:rPr>
                <w:rFonts w:ascii="Arial" w:cs="Arial" w:eastAsia="Arial" w:hAnsi="Arial"/>
                <w:b w:val="false"/>
                <w:bCs w:val="false"/>
                <w:color w:val="1F2937"/>
                <w:sz w:val="20"/>
                <w:szCs w:val="20"/>
              </w:rPr>
              <w:t xml:space="preserve">+0.06</w:t>
            </w:r>
          </w:p>
        </w:tc>
        <w:tc>
          <w:tcPr>
            <w:tcW w:type="dxa" w:w="1160"/>
            <w:shd w:fill="FFFFFF" w:color="auto" w:val="clear"/>
            <w:tcMar>
              <w:top w:type="dxa" w:w="60"/>
              <w:left w:type="dxa" w:w="100"/>
              <w:bottom w:type="dxa" w:w="60"/>
              <w:right w:type="dxa" w:w="100"/>
            </w:tcMar>
            <w:vAlign w:val="center"/>
          </w:tcPr>
          <w:p>
            <w:pPr>
              <w:spacing w:after="0" w:before="0" w:line="276"/>
            </w:pPr>
            <w:r>
              <w:rPr>
                <w:rFonts w:ascii="Arial" w:cs="Arial" w:eastAsia="Arial" w:hAnsi="Arial"/>
                <w:b w:val="false"/>
                <w:bCs w:val="false"/>
                <w:color w:val="1F2937"/>
                <w:sz w:val="20"/>
                <w:szCs w:val="20"/>
              </w:rPr>
              <w:t xml:space="preserve">−0.07</w:t>
            </w:r>
          </w:p>
        </w:tc>
        <w:tc>
          <w:tcPr>
            <w:tcW w:type="dxa" w:w="4421"/>
            <w:shd w:fill="FFFFFF" w:color="auto" w:val="clear"/>
            <w:tcMar>
              <w:top w:type="dxa" w:w="60"/>
              <w:left w:type="dxa" w:w="100"/>
              <w:bottom w:type="dxa" w:w="60"/>
              <w:right w:type="dxa" w:w="100"/>
            </w:tcMar>
            <w:vAlign w:val="center"/>
          </w:tcPr>
          <w:p>
            <w:pPr>
              <w:spacing w:after="0" w:before="0" w:line="276"/>
            </w:pPr>
            <w:r>
              <w:rPr>
                <w:rFonts w:ascii="Arial" w:cs="Arial" w:eastAsia="Arial" w:hAnsi="Arial"/>
                <w:b w:val="false"/>
                <w:bCs w:val="false"/>
                <w:color w:val="1F2937"/>
                <w:sz w:val="20"/>
                <w:szCs w:val="20"/>
              </w:rPr>
              <w:t xml:space="preserve">strong −I, +M nearly cancels at para</w:t>
            </w:r>
          </w:p>
        </w:tc>
      </w:tr>
      <w:tr>
        <w:tc>
          <w:tcPr>
            <w:tcW w:type="dxa" w:w="1740"/>
            <w:shd w:fill="F1F5F9" w:color="auto" w:val="clear"/>
            <w:tcMar>
              <w:top w:type="dxa" w:w="60"/>
              <w:left w:type="dxa" w:w="100"/>
              <w:bottom w:type="dxa" w:w="60"/>
              <w:right w:type="dxa" w:w="100"/>
            </w:tcMar>
            <w:vAlign w:val="center"/>
          </w:tcPr>
          <w:p>
            <w:pPr>
              <w:spacing w:after="0" w:before="0" w:line="276"/>
            </w:pPr>
            <w:r>
              <w:rPr>
                <w:rFonts w:ascii="Arial" w:cs="Arial" w:eastAsia="Arial" w:hAnsi="Arial"/>
                <w:b/>
                <w:bCs/>
                <w:color w:val="1F2937"/>
                <w:sz w:val="20"/>
                <w:szCs w:val="20"/>
              </w:rPr>
              <w:t xml:space="preserve">–H</w:t>
            </w:r>
          </w:p>
        </w:tc>
        <w:tc>
          <w:tcPr>
            <w:tcW w:type="dxa" w:w="1160"/>
            <w:shd w:fill="FFFFFF" w:color="auto" w:val="clear"/>
            <w:tcMar>
              <w:top w:type="dxa" w:w="60"/>
              <w:left w:type="dxa" w:w="100"/>
              <w:bottom w:type="dxa" w:w="60"/>
              <w:right w:type="dxa" w:w="100"/>
            </w:tcMar>
            <w:vAlign w:val="center"/>
          </w:tcPr>
          <w:p>
            <w:pPr>
              <w:spacing w:after="0" w:before="0" w:line="276"/>
            </w:pPr>
            <w:r>
              <w:rPr>
                <w:rFonts w:ascii="Arial" w:cs="Arial" w:eastAsia="Arial" w:hAnsi="Arial"/>
                <w:b w:val="false"/>
                <w:bCs w:val="false"/>
                <w:color w:val="1F2937"/>
                <w:sz w:val="20"/>
                <w:szCs w:val="20"/>
              </w:rPr>
              <w:t xml:space="preserve">0</w:t>
            </w:r>
          </w:p>
        </w:tc>
        <w:tc>
          <w:tcPr>
            <w:tcW w:type="dxa" w:w="1160"/>
            <w:shd w:fill="FFFFFF" w:color="auto" w:val="clear"/>
            <w:tcMar>
              <w:top w:type="dxa" w:w="60"/>
              <w:left w:type="dxa" w:w="100"/>
              <w:bottom w:type="dxa" w:w="60"/>
              <w:right w:type="dxa" w:w="100"/>
            </w:tcMar>
            <w:vAlign w:val="center"/>
          </w:tcPr>
          <w:p>
            <w:pPr>
              <w:spacing w:after="0" w:before="0" w:line="276"/>
            </w:pPr>
            <w:r>
              <w:rPr>
                <w:rFonts w:ascii="Arial" w:cs="Arial" w:eastAsia="Arial" w:hAnsi="Arial"/>
                <w:b w:val="false"/>
                <w:bCs w:val="false"/>
                <w:color w:val="1F2937"/>
                <w:sz w:val="20"/>
                <w:szCs w:val="20"/>
              </w:rPr>
              <w:t xml:space="preserve">0</w:t>
            </w:r>
          </w:p>
        </w:tc>
        <w:tc>
          <w:tcPr>
            <w:tcW w:type="dxa" w:w="1160"/>
            <w:shd w:fill="FFFFFF" w:color="auto" w:val="clear"/>
            <w:tcMar>
              <w:top w:type="dxa" w:w="60"/>
              <w:left w:type="dxa" w:w="100"/>
              <w:bottom w:type="dxa" w:w="60"/>
              <w:right w:type="dxa" w:w="100"/>
            </w:tcMar>
            <w:vAlign w:val="center"/>
          </w:tcPr>
          <w:p>
            <w:pPr>
              <w:spacing w:after="0" w:before="0" w:line="276"/>
            </w:pPr>
            <w:r>
              <w:rPr>
                <w:rFonts w:ascii="Arial" w:cs="Arial" w:eastAsia="Arial" w:hAnsi="Arial"/>
                <w:b w:val="false"/>
                <w:bCs w:val="false"/>
                <w:color w:val="1F2937"/>
                <w:sz w:val="20"/>
                <w:szCs w:val="20"/>
              </w:rPr>
              <w:t xml:space="preserve">0</w:t>
            </w:r>
          </w:p>
        </w:tc>
        <w:tc>
          <w:tcPr>
            <w:tcW w:type="dxa" w:w="4421"/>
            <w:shd w:fill="FFFFFF" w:color="auto" w:val="clear"/>
            <w:tcMar>
              <w:top w:type="dxa" w:w="60"/>
              <w:left w:type="dxa" w:w="100"/>
              <w:bottom w:type="dxa" w:w="60"/>
              <w:right w:type="dxa" w:w="100"/>
            </w:tcMar>
            <w:vAlign w:val="center"/>
          </w:tcPr>
          <w:p>
            <w:pPr>
              <w:spacing w:after="0" w:before="0" w:line="276"/>
            </w:pPr>
            <w:r>
              <w:rPr>
                <w:rFonts w:ascii="Arial" w:cs="Arial" w:eastAsia="Arial" w:hAnsi="Arial"/>
                <w:b w:val="false"/>
                <w:bCs w:val="false"/>
                <w:color w:val="1F2937"/>
                <w:sz w:val="20"/>
                <w:szCs w:val="20"/>
              </w:rPr>
              <w:t xml:space="preserve">reference</w:t>
            </w:r>
          </w:p>
        </w:tc>
      </w:tr>
      <w:tr>
        <w:tc>
          <w:tcPr>
            <w:tcW w:type="dxa" w:w="1740"/>
            <w:shd w:fill="F1F5F9" w:color="auto" w:val="clear"/>
            <w:tcMar>
              <w:top w:type="dxa" w:w="60"/>
              <w:left w:type="dxa" w:w="100"/>
              <w:bottom w:type="dxa" w:w="60"/>
              <w:right w:type="dxa" w:w="100"/>
            </w:tcMar>
            <w:vAlign w:val="center"/>
          </w:tcPr>
          <w:p>
            <w:pPr>
              <w:spacing w:after="0" w:before="0" w:line="276"/>
            </w:pPr>
            <w:r>
              <w:rPr>
                <w:rFonts w:ascii="Arial" w:cs="Arial" w:eastAsia="Arial" w:hAnsi="Arial"/>
                <w:b/>
                <w:bCs/>
                <w:color w:val="1F2937"/>
                <w:sz w:val="20"/>
                <w:szCs w:val="20"/>
              </w:rPr>
              <w:t xml:space="preserve">–CH₃</w:t>
            </w:r>
          </w:p>
        </w:tc>
        <w:tc>
          <w:tcPr>
            <w:tcW w:type="dxa" w:w="1160"/>
            <w:shd w:fill="FFFFFF" w:color="auto" w:val="clear"/>
            <w:tcMar>
              <w:top w:type="dxa" w:w="60"/>
              <w:left w:type="dxa" w:w="100"/>
              <w:bottom w:type="dxa" w:w="60"/>
              <w:right w:type="dxa" w:w="100"/>
            </w:tcMar>
            <w:vAlign w:val="center"/>
          </w:tcPr>
          <w:p>
            <w:pPr>
              <w:spacing w:after="0" w:before="0" w:line="276"/>
            </w:pPr>
            <w:r>
              <w:rPr>
                <w:rFonts w:ascii="Arial" w:cs="Arial" w:eastAsia="Arial" w:hAnsi="Arial"/>
                <w:b w:val="false"/>
                <w:bCs w:val="false"/>
                <w:color w:val="1F2937"/>
                <w:sz w:val="20"/>
                <w:szCs w:val="20"/>
              </w:rPr>
              <w:t xml:space="preserve">−0.07</w:t>
            </w:r>
          </w:p>
        </w:tc>
        <w:tc>
          <w:tcPr>
            <w:tcW w:type="dxa" w:w="1160"/>
            <w:shd w:fill="FFFFFF" w:color="auto" w:val="clear"/>
            <w:tcMar>
              <w:top w:type="dxa" w:w="60"/>
              <w:left w:type="dxa" w:w="100"/>
              <w:bottom w:type="dxa" w:w="60"/>
              <w:right w:type="dxa" w:w="100"/>
            </w:tcMar>
            <w:vAlign w:val="center"/>
          </w:tcPr>
          <w:p>
            <w:pPr>
              <w:spacing w:after="0" w:before="0" w:line="276"/>
            </w:pPr>
            <w:r>
              <w:rPr>
                <w:rFonts w:ascii="Arial" w:cs="Arial" w:eastAsia="Arial" w:hAnsi="Arial"/>
                <w:b w:val="false"/>
                <w:bCs w:val="false"/>
                <w:color w:val="1F2937"/>
                <w:sz w:val="20"/>
                <w:szCs w:val="20"/>
              </w:rPr>
              <w:t xml:space="preserve">−0.17</w:t>
            </w:r>
          </w:p>
        </w:tc>
        <w:tc>
          <w:tcPr>
            <w:tcW w:type="dxa" w:w="1160"/>
            <w:shd w:fill="FFFFFF" w:color="auto" w:val="clear"/>
            <w:tcMar>
              <w:top w:type="dxa" w:w="60"/>
              <w:left w:type="dxa" w:w="100"/>
              <w:bottom w:type="dxa" w:w="60"/>
              <w:right w:type="dxa" w:w="100"/>
            </w:tcMar>
            <w:vAlign w:val="center"/>
          </w:tcPr>
          <w:p>
            <w:pPr>
              <w:spacing w:after="0" w:before="0" w:line="276"/>
            </w:pPr>
            <w:r>
              <w:rPr>
                <w:rFonts w:ascii="Arial" w:cs="Arial" w:eastAsia="Arial" w:hAnsi="Arial"/>
                <w:b w:val="false"/>
                <w:bCs w:val="false"/>
                <w:color w:val="1F2937"/>
                <w:sz w:val="20"/>
                <w:szCs w:val="20"/>
              </w:rPr>
              <w:t xml:space="preserve">−0.31</w:t>
            </w:r>
          </w:p>
        </w:tc>
        <w:tc>
          <w:tcPr>
            <w:tcW w:type="dxa" w:w="4421"/>
            <w:shd w:fill="FFFFFF" w:color="auto" w:val="clear"/>
            <w:tcMar>
              <w:top w:type="dxa" w:w="60"/>
              <w:left w:type="dxa" w:w="100"/>
              <w:bottom w:type="dxa" w:w="60"/>
              <w:right w:type="dxa" w:w="100"/>
            </w:tcMar>
            <w:vAlign w:val="center"/>
          </w:tcPr>
          <w:p>
            <w:pPr>
              <w:spacing w:after="0" w:before="0" w:line="276"/>
            </w:pPr>
            <w:r>
              <w:rPr>
                <w:rFonts w:ascii="Arial" w:cs="Arial" w:eastAsia="Arial" w:hAnsi="Arial"/>
                <w:b w:val="false"/>
                <w:bCs w:val="false"/>
                <w:color w:val="1F2937"/>
                <w:sz w:val="20"/>
                <w:szCs w:val="20"/>
              </w:rPr>
              <w:t xml:space="preserve">+I, hyperconjugation</w:t>
            </w:r>
          </w:p>
        </w:tc>
      </w:tr>
      <w:tr>
        <w:tc>
          <w:tcPr>
            <w:tcW w:type="dxa" w:w="1740"/>
            <w:shd w:fill="F1F5F9" w:color="auto" w:val="clear"/>
            <w:tcMar>
              <w:top w:type="dxa" w:w="60"/>
              <w:left w:type="dxa" w:w="100"/>
              <w:bottom w:type="dxa" w:w="60"/>
              <w:right w:type="dxa" w:w="100"/>
            </w:tcMar>
            <w:vAlign w:val="center"/>
          </w:tcPr>
          <w:p>
            <w:pPr>
              <w:spacing w:after="0" w:before="0" w:line="276"/>
            </w:pPr>
            <w:r>
              <w:rPr>
                <w:rFonts w:ascii="Arial" w:cs="Arial" w:eastAsia="Arial" w:hAnsi="Arial"/>
                <w:b/>
                <w:bCs/>
                <w:color w:val="1F2937"/>
                <w:sz w:val="20"/>
                <w:szCs w:val="20"/>
              </w:rPr>
              <w:t xml:space="preserve">–OCH₃</w:t>
            </w:r>
          </w:p>
        </w:tc>
        <w:tc>
          <w:tcPr>
            <w:tcW w:type="dxa" w:w="1160"/>
            <w:shd w:fill="FFFFFF" w:color="auto" w:val="clear"/>
            <w:tcMar>
              <w:top w:type="dxa" w:w="60"/>
              <w:left w:type="dxa" w:w="100"/>
              <w:bottom w:type="dxa" w:w="60"/>
              <w:right w:type="dxa" w:w="100"/>
            </w:tcMar>
            <w:vAlign w:val="center"/>
          </w:tcPr>
          <w:p>
            <w:pPr>
              <w:spacing w:after="0" w:before="0" w:line="276"/>
            </w:pPr>
            <w:r>
              <w:rPr>
                <w:rFonts w:ascii="Arial" w:cs="Arial" w:eastAsia="Arial" w:hAnsi="Arial"/>
                <w:b w:val="false"/>
                <w:bCs w:val="false"/>
                <w:color w:val="1F2937"/>
                <w:sz w:val="20"/>
                <w:szCs w:val="20"/>
              </w:rPr>
              <w:t xml:space="preserve">+0.12</w:t>
            </w:r>
          </w:p>
        </w:tc>
        <w:tc>
          <w:tcPr>
            <w:tcW w:type="dxa" w:w="1160"/>
            <w:shd w:fill="FFFFFF" w:color="auto" w:val="clear"/>
            <w:tcMar>
              <w:top w:type="dxa" w:w="60"/>
              <w:left w:type="dxa" w:w="100"/>
              <w:bottom w:type="dxa" w:w="60"/>
              <w:right w:type="dxa" w:w="100"/>
            </w:tcMar>
            <w:vAlign w:val="center"/>
          </w:tcPr>
          <w:p>
            <w:pPr>
              <w:spacing w:after="0" w:before="0" w:line="276"/>
            </w:pPr>
            <w:r>
              <w:rPr>
                <w:rFonts w:ascii="Arial" w:cs="Arial" w:eastAsia="Arial" w:hAnsi="Arial"/>
                <w:b w:val="false"/>
                <w:bCs w:val="false"/>
                <w:color w:val="1F2937"/>
                <w:sz w:val="20"/>
                <w:szCs w:val="20"/>
              </w:rPr>
              <w:t xml:space="preserve">−0.27</w:t>
            </w:r>
          </w:p>
        </w:tc>
        <w:tc>
          <w:tcPr>
            <w:tcW w:type="dxa" w:w="1160"/>
            <w:shd w:fill="FFFFFF" w:color="auto" w:val="clear"/>
            <w:tcMar>
              <w:top w:type="dxa" w:w="60"/>
              <w:left w:type="dxa" w:w="100"/>
              <w:bottom w:type="dxa" w:w="60"/>
              <w:right w:type="dxa" w:w="100"/>
            </w:tcMar>
            <w:vAlign w:val="center"/>
          </w:tcPr>
          <w:p>
            <w:pPr>
              <w:spacing w:after="0" w:before="0" w:line="276"/>
            </w:pPr>
            <w:r>
              <w:rPr>
                <w:rFonts w:ascii="Arial" w:cs="Arial" w:eastAsia="Arial" w:hAnsi="Arial"/>
                <w:b w:val="false"/>
                <w:bCs w:val="false"/>
                <w:color w:val="1F2937"/>
                <w:sz w:val="20"/>
                <w:szCs w:val="20"/>
              </w:rPr>
              <w:t xml:space="preserve">−0.78</w:t>
            </w:r>
          </w:p>
        </w:tc>
        <w:tc>
          <w:tcPr>
            <w:tcW w:type="dxa" w:w="4421"/>
            <w:shd w:fill="FFFFFF" w:color="auto" w:val="clear"/>
            <w:tcMar>
              <w:top w:type="dxa" w:w="60"/>
              <w:left w:type="dxa" w:w="100"/>
              <w:bottom w:type="dxa" w:w="60"/>
              <w:right w:type="dxa" w:w="100"/>
            </w:tcMar>
            <w:vAlign w:val="center"/>
          </w:tcPr>
          <w:p>
            <w:pPr>
              <w:spacing w:after="0" w:before="0" w:line="276"/>
            </w:pPr>
            <w:r>
              <w:rPr>
                <w:rFonts w:ascii="Arial" w:cs="Arial" w:eastAsia="Arial" w:hAnsi="Arial"/>
                <w:b w:val="false"/>
                <w:bCs w:val="false"/>
                <w:color w:val="1F2937"/>
                <w:sz w:val="20"/>
                <w:szCs w:val="20"/>
              </w:rPr>
              <w:t xml:space="preserve">−I at meta; +M dominates at para</w:t>
            </w:r>
          </w:p>
        </w:tc>
      </w:tr>
      <w:tr>
        <w:tc>
          <w:tcPr>
            <w:tcW w:type="dxa" w:w="1740"/>
            <w:shd w:fill="F1F5F9" w:color="auto" w:val="clear"/>
            <w:tcMar>
              <w:top w:type="dxa" w:w="60"/>
              <w:left w:type="dxa" w:w="100"/>
              <w:bottom w:type="dxa" w:w="60"/>
              <w:right w:type="dxa" w:w="100"/>
            </w:tcMar>
            <w:vAlign w:val="center"/>
          </w:tcPr>
          <w:p>
            <w:pPr>
              <w:spacing w:after="0" w:before="0" w:line="276"/>
            </w:pPr>
            <w:r>
              <w:rPr>
                <w:rFonts w:ascii="Arial" w:cs="Arial" w:eastAsia="Arial" w:hAnsi="Arial"/>
                <w:b/>
                <w:bCs/>
                <w:color w:val="1F2937"/>
                <w:sz w:val="20"/>
                <w:szCs w:val="20"/>
              </w:rPr>
              <w:t xml:space="preserve">–OH</w:t>
            </w:r>
          </w:p>
        </w:tc>
        <w:tc>
          <w:tcPr>
            <w:tcW w:type="dxa" w:w="1160"/>
            <w:shd w:fill="FFFFFF" w:color="auto" w:val="clear"/>
            <w:tcMar>
              <w:top w:type="dxa" w:w="60"/>
              <w:left w:type="dxa" w:w="100"/>
              <w:bottom w:type="dxa" w:w="60"/>
              <w:right w:type="dxa" w:w="100"/>
            </w:tcMar>
            <w:vAlign w:val="center"/>
          </w:tcPr>
          <w:p>
            <w:pPr>
              <w:spacing w:after="0" w:before="0" w:line="276"/>
            </w:pPr>
            <w:r>
              <w:rPr>
                <w:rFonts w:ascii="Arial" w:cs="Arial" w:eastAsia="Arial" w:hAnsi="Arial"/>
                <w:b w:val="false"/>
                <w:bCs w:val="false"/>
                <w:color w:val="1F2937"/>
                <w:sz w:val="20"/>
                <w:szCs w:val="20"/>
              </w:rPr>
              <w:t xml:space="preserve">+0.12</w:t>
            </w:r>
          </w:p>
        </w:tc>
        <w:tc>
          <w:tcPr>
            <w:tcW w:type="dxa" w:w="1160"/>
            <w:shd w:fill="FFFFFF" w:color="auto" w:val="clear"/>
            <w:tcMar>
              <w:top w:type="dxa" w:w="60"/>
              <w:left w:type="dxa" w:w="100"/>
              <w:bottom w:type="dxa" w:w="60"/>
              <w:right w:type="dxa" w:w="100"/>
            </w:tcMar>
            <w:vAlign w:val="center"/>
          </w:tcPr>
          <w:p>
            <w:pPr>
              <w:spacing w:after="0" w:before="0" w:line="276"/>
            </w:pPr>
            <w:r>
              <w:rPr>
                <w:rFonts w:ascii="Arial" w:cs="Arial" w:eastAsia="Arial" w:hAnsi="Arial"/>
                <w:b w:val="false"/>
                <w:bCs w:val="false"/>
                <w:color w:val="1F2937"/>
                <w:sz w:val="20"/>
                <w:szCs w:val="20"/>
              </w:rPr>
              <w:t xml:space="preserve">−0.37</w:t>
            </w:r>
          </w:p>
        </w:tc>
        <w:tc>
          <w:tcPr>
            <w:tcW w:type="dxa" w:w="1160"/>
            <w:shd w:fill="FFFFFF" w:color="auto" w:val="clear"/>
            <w:tcMar>
              <w:top w:type="dxa" w:w="60"/>
              <w:left w:type="dxa" w:w="100"/>
              <w:bottom w:type="dxa" w:w="60"/>
              <w:right w:type="dxa" w:w="100"/>
            </w:tcMar>
            <w:vAlign w:val="center"/>
          </w:tcPr>
          <w:p>
            <w:pPr>
              <w:spacing w:after="0" w:before="0" w:line="276"/>
            </w:pPr>
            <w:r>
              <w:rPr>
                <w:rFonts w:ascii="Arial" w:cs="Arial" w:eastAsia="Arial" w:hAnsi="Arial"/>
                <w:b w:val="false"/>
                <w:bCs w:val="false"/>
                <w:color w:val="1F2937"/>
                <w:sz w:val="20"/>
                <w:szCs w:val="20"/>
              </w:rPr>
              <w:t xml:space="preserve">−0.92</w:t>
            </w:r>
          </w:p>
        </w:tc>
        <w:tc>
          <w:tcPr>
            <w:tcW w:type="dxa" w:w="4421"/>
            <w:shd w:fill="FFFFFF" w:color="auto" w:val="clear"/>
            <w:tcMar>
              <w:top w:type="dxa" w:w="60"/>
              <w:left w:type="dxa" w:w="100"/>
              <w:bottom w:type="dxa" w:w="60"/>
              <w:right w:type="dxa" w:w="100"/>
            </w:tcMar>
            <w:vAlign w:val="center"/>
          </w:tcPr>
          <w:p>
            <w:pPr>
              <w:spacing w:after="0" w:before="0" w:line="276"/>
            </w:pPr>
            <w:r>
              <w:rPr>
                <w:rFonts w:ascii="Arial" w:cs="Arial" w:eastAsia="Arial" w:hAnsi="Arial"/>
                <w:b w:val="false"/>
                <w:bCs w:val="false"/>
                <w:color w:val="1F2937"/>
                <w:sz w:val="20"/>
                <w:szCs w:val="20"/>
              </w:rPr>
              <w:t xml:space="preserve">as OCH₃</w:t>
            </w:r>
          </w:p>
        </w:tc>
      </w:tr>
      <w:tr>
        <w:tc>
          <w:tcPr>
            <w:tcW w:type="dxa" w:w="1740"/>
            <w:shd w:fill="F1F5F9" w:color="auto" w:val="clear"/>
            <w:tcMar>
              <w:top w:type="dxa" w:w="60"/>
              <w:left w:type="dxa" w:w="100"/>
              <w:bottom w:type="dxa" w:w="60"/>
              <w:right w:type="dxa" w:w="100"/>
            </w:tcMar>
            <w:vAlign w:val="center"/>
          </w:tcPr>
          <w:p>
            <w:pPr>
              <w:spacing w:after="0" w:before="0" w:line="276"/>
            </w:pPr>
            <w:r>
              <w:rPr>
                <w:rFonts w:ascii="Arial" w:cs="Arial" w:eastAsia="Arial" w:hAnsi="Arial"/>
                <w:b/>
                <w:bCs/>
                <w:color w:val="1F2937"/>
                <w:sz w:val="20"/>
                <w:szCs w:val="20"/>
              </w:rPr>
              <w:t xml:space="preserve">–NH₂</w:t>
            </w:r>
          </w:p>
        </w:tc>
        <w:tc>
          <w:tcPr>
            <w:tcW w:type="dxa" w:w="1160"/>
            <w:shd w:fill="FFFFFF" w:color="auto" w:val="clear"/>
            <w:tcMar>
              <w:top w:type="dxa" w:w="60"/>
              <w:left w:type="dxa" w:w="100"/>
              <w:bottom w:type="dxa" w:w="60"/>
              <w:right w:type="dxa" w:w="100"/>
            </w:tcMar>
            <w:vAlign w:val="center"/>
          </w:tcPr>
          <w:p>
            <w:pPr>
              <w:spacing w:after="0" w:before="0" w:line="276"/>
            </w:pPr>
            <w:r>
              <w:rPr>
                <w:rFonts w:ascii="Arial" w:cs="Arial" w:eastAsia="Arial" w:hAnsi="Arial"/>
                <w:b w:val="false"/>
                <w:bCs w:val="false"/>
                <w:color w:val="1F2937"/>
                <w:sz w:val="20"/>
                <w:szCs w:val="20"/>
              </w:rPr>
              <w:t xml:space="preserve">−0.16</w:t>
            </w:r>
          </w:p>
        </w:tc>
        <w:tc>
          <w:tcPr>
            <w:tcW w:type="dxa" w:w="1160"/>
            <w:shd w:fill="FFFFFF" w:color="auto" w:val="clear"/>
            <w:tcMar>
              <w:top w:type="dxa" w:w="60"/>
              <w:left w:type="dxa" w:w="100"/>
              <w:bottom w:type="dxa" w:w="60"/>
              <w:right w:type="dxa" w:w="100"/>
            </w:tcMar>
            <w:vAlign w:val="center"/>
          </w:tcPr>
          <w:p>
            <w:pPr>
              <w:spacing w:after="0" w:before="0" w:line="276"/>
            </w:pPr>
            <w:r>
              <w:rPr>
                <w:rFonts w:ascii="Arial" w:cs="Arial" w:eastAsia="Arial" w:hAnsi="Arial"/>
                <w:b w:val="false"/>
                <w:bCs w:val="false"/>
                <w:color w:val="1F2937"/>
                <w:sz w:val="20"/>
                <w:szCs w:val="20"/>
              </w:rPr>
              <w:t xml:space="preserve">−0.66</w:t>
            </w:r>
          </w:p>
        </w:tc>
        <w:tc>
          <w:tcPr>
            <w:tcW w:type="dxa" w:w="1160"/>
            <w:shd w:fill="FFFFFF" w:color="auto" w:val="clear"/>
            <w:tcMar>
              <w:top w:type="dxa" w:w="60"/>
              <w:left w:type="dxa" w:w="100"/>
              <w:bottom w:type="dxa" w:w="60"/>
              <w:right w:type="dxa" w:w="100"/>
            </w:tcMar>
            <w:vAlign w:val="center"/>
          </w:tcPr>
          <w:p>
            <w:pPr>
              <w:spacing w:after="0" w:before="0" w:line="276"/>
            </w:pPr>
            <w:r>
              <w:rPr>
                <w:rFonts w:ascii="Arial" w:cs="Arial" w:eastAsia="Arial" w:hAnsi="Arial"/>
                <w:b w:val="false"/>
                <w:bCs w:val="false"/>
                <w:color w:val="1F2937"/>
                <w:sz w:val="20"/>
                <w:szCs w:val="20"/>
              </w:rPr>
              <w:t xml:space="preserve">−1.30</w:t>
            </w:r>
          </w:p>
        </w:tc>
        <w:tc>
          <w:tcPr>
            <w:tcW w:type="dxa" w:w="4421"/>
            <w:shd w:fill="FFFFFF" w:color="auto" w:val="clear"/>
            <w:tcMar>
              <w:top w:type="dxa" w:w="60"/>
              <w:left w:type="dxa" w:w="100"/>
              <w:bottom w:type="dxa" w:w="60"/>
              <w:right w:type="dxa" w:w="100"/>
            </w:tcMar>
            <w:vAlign w:val="center"/>
          </w:tcPr>
          <w:p>
            <w:pPr>
              <w:spacing w:after="0" w:before="0" w:line="276"/>
            </w:pPr>
            <w:r>
              <w:rPr>
                <w:rFonts w:ascii="Arial" w:cs="Arial" w:eastAsia="Arial" w:hAnsi="Arial"/>
                <w:b w:val="false"/>
                <w:bCs w:val="false"/>
                <w:color w:val="1F2937"/>
                <w:sz w:val="20"/>
                <w:szCs w:val="20"/>
              </w:rPr>
              <w:t xml:space="preserve">strongest +M</w:t>
            </w:r>
          </w:p>
        </w:tc>
      </w:tr>
    </w:tbl>
    <w:p>
      <w:pPr>
        <w:spacing w:after="40" w:before="0" w:line="276"/>
      </w:pPr>
      <w:r>
        <w:rPr>
          <w:rFonts w:ascii="Arial" w:cs="Arial" w:eastAsia="Arial" w:hAnsi="Arial"/>
          <w:color w:val="1F2937"/>
          <w:sz w:val="22"/>
          <w:szCs w:val="22"/>
        </w:rPr>
        <w:t xml:space="preserve"> </w:t>
      </w:r>
    </w:p>
    <w:p>
      <w:pPr>
        <w:keepNext/>
        <w:spacing w:after="40" w:before="200"/>
      </w:pPr>
      <w:r>
        <w:rPr>
          <w:rFonts w:ascii="Arial" w:cs="Arial" w:eastAsia="Arial" w:hAnsi="Arial"/>
          <w:b/>
          <w:bCs/>
          <w:color w:val="312E81"/>
          <w:sz w:val="22"/>
          <w:szCs w:val="22"/>
        </w:rPr>
        <w:t xml:space="preserve">9.1  </w:t>
      </w:r>
      <w:r>
        <w:rPr>
          <w:rFonts w:ascii="Arial" w:cs="Arial" w:eastAsia="Arial" w:hAnsi="Arial"/>
          <w:color w:val="1F2937"/>
          <w:sz w:val="22"/>
          <w:szCs w:val="22"/>
        </w:rPr>
        <w:t xml:space="preserve">Benzoic acid has pKₐ 4.20. Use σₚ(NO₂) = 0.78 and ρ = 1.00 (by definition) to predict the pKₐ of 4-nitrobenzoic acid. Then predict the pKₐ of 4-methoxybenzoic acid and explain the direction of the change.</w:t>
      </w:r>
      <w:r>
        <w:rPr>
          <w:rFonts w:ascii="Arial" w:cs="Arial" w:eastAsia="Arial" w:hAnsi="Arial"/>
          <w:b/>
          <w:bCs/>
          <w:color w:val="D97706"/>
          <w:sz w:val="20"/>
          <w:szCs w:val="20"/>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val="false"/>
        <w:pBdr>
          <w:bottom w:val="single" w:color="A1A1AA" w:sz="4" w:space="1"/>
        </w:pBdr>
        <w:spacing w:after="0" w:before="0" w:line="420"/>
      </w:pPr>
      <w:r>
        <w:rPr>
          <w:rFonts w:ascii="Arial" w:cs="Arial" w:eastAsia="Arial" w:hAnsi="Arial"/>
          <w:color w:val="1F2937"/>
          <w:sz w:val="22"/>
          <w:szCs w:val="22"/>
        </w:rPr>
        <w:t xml:space="preserve"> </w:t>
      </w:r>
    </w:p>
    <w:p>
      <w:pPr>
        <w:spacing w:after="40" w:before="0" w:line="276"/>
      </w:pPr>
      <w:r>
        <w:rPr>
          <w:rFonts w:ascii="Arial" w:cs="Arial" w:eastAsia="Arial" w:hAnsi="Arial"/>
          <w:color w:val="1F2937"/>
          <w:sz w:val="22"/>
          <w:szCs w:val="22"/>
        </w:rPr>
        <w:t xml:space="preserve"> </w:t>
      </w:r>
    </w:p>
    <w:p>
      <w:pPr>
        <w:keepNext/>
        <w:spacing w:after="40" w:before="200"/>
      </w:pPr>
      <w:r>
        <w:rPr>
          <w:rFonts w:ascii="Arial" w:cs="Arial" w:eastAsia="Arial" w:hAnsi="Arial"/>
          <w:b/>
          <w:bCs/>
          <w:color w:val="312E81"/>
          <w:sz w:val="22"/>
          <w:szCs w:val="22"/>
        </w:rPr>
        <w:t xml:space="preserve">9.2  </w:t>
      </w:r>
      <w:r>
        <w:rPr>
          <w:rFonts w:ascii="Arial" w:cs="Arial" w:eastAsia="Arial" w:hAnsi="Arial"/>
          <w:color w:val="1F2937"/>
          <w:sz w:val="22"/>
          <w:szCs w:val="22"/>
        </w:rPr>
        <w:t xml:space="preserve">The bromination of aromatic compounds by Br₂ in acetic acid has ρ = −12.1 (with σ⁺). Estimate how many times faster methoxybenzene reacts than benzene at the para position. Repeat for chlorobenzene (σₚ⁺ = +0.11). Comment on the size of ρ.</w:t>
      </w:r>
      <w:r>
        <w:rPr>
          <w:rFonts w:ascii="Arial" w:cs="Arial" w:eastAsia="Arial" w:hAnsi="Arial"/>
          <w:b/>
          <w:bCs/>
          <w:color w:val="D97706"/>
          <w:sz w:val="20"/>
          <w:szCs w:val="20"/>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val="false"/>
        <w:pBdr>
          <w:bottom w:val="single" w:color="A1A1AB" w:sz="4" w:space="1"/>
        </w:pBdr>
        <w:spacing w:after="0" w:before="0" w:line="420"/>
      </w:pPr>
      <w:r>
        <w:rPr>
          <w:rFonts w:ascii="Arial" w:cs="Arial" w:eastAsia="Arial" w:hAnsi="Arial"/>
          <w:color w:val="1F2937"/>
          <w:sz w:val="22"/>
          <w:szCs w:val="22"/>
        </w:rPr>
        <w:t xml:space="preserve"> </w:t>
      </w:r>
    </w:p>
    <w:p>
      <w:pPr>
        <w:spacing w:after="40" w:before="0" w:line="276"/>
      </w:pPr>
      <w:r>
        <w:rPr>
          <w:rFonts w:ascii="Arial" w:cs="Arial" w:eastAsia="Arial" w:hAnsi="Arial"/>
          <w:color w:val="1F2937"/>
          <w:sz w:val="22"/>
          <w:szCs w:val="22"/>
        </w:rPr>
        <w:t xml:space="preserve"> </w:t>
      </w:r>
    </w:p>
    <w:p>
      <w:pPr>
        <w:keepNext/>
        <w:spacing w:after="40" w:before="200"/>
      </w:pPr>
      <w:r>
        <w:rPr>
          <w:rFonts w:ascii="Arial" w:cs="Arial" w:eastAsia="Arial" w:hAnsi="Arial"/>
          <w:b/>
          <w:bCs/>
          <w:color w:val="312E81"/>
          <w:sz w:val="22"/>
          <w:szCs w:val="22"/>
        </w:rPr>
        <w:t xml:space="preserve">9.3  </w:t>
      </w:r>
      <w:r>
        <w:rPr>
          <w:rFonts w:ascii="Arial" w:cs="Arial" w:eastAsia="Arial" w:hAnsi="Arial"/>
          <w:color w:val="1F2937"/>
          <w:sz w:val="22"/>
          <w:szCs w:val="22"/>
        </w:rPr>
        <w:t xml:space="preserve">Explain, with resonance structures, why σₚ(OCH₃) is negative but σₘ(OCH₃) is positive, and why a separate σ⁺ scale is needed for electrophilic substitution.</w:t>
      </w:r>
      <w:r>
        <w:rPr>
          <w:rFonts w:ascii="Arial" w:cs="Arial" w:eastAsia="Arial" w:hAnsi="Arial"/>
          <w:b/>
          <w:bCs/>
          <w:color w:val="D97706"/>
          <w:sz w:val="20"/>
          <w:szCs w:val="20"/>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val="false"/>
        <w:pBdr>
          <w:bottom w:val="single" w:color="A1A1AB" w:sz="4" w:space="1"/>
        </w:pBdr>
        <w:spacing w:after="0" w:before="0" w:line="420"/>
      </w:pPr>
      <w:r>
        <w:rPr>
          <w:rFonts w:ascii="Arial" w:cs="Arial" w:eastAsia="Arial" w:hAnsi="Arial"/>
          <w:color w:val="1F2937"/>
          <w:sz w:val="22"/>
          <w:szCs w:val="22"/>
        </w:rPr>
        <w:t xml:space="preserve"> </w:t>
      </w:r>
    </w:p>
    <w:p>
      <w:pPr>
        <w:spacing w:after="40" w:before="0" w:line="276"/>
      </w:pPr>
      <w:r>
        <w:rPr>
          <w:rFonts w:ascii="Arial" w:cs="Arial" w:eastAsia="Arial" w:hAnsi="Arial"/>
          <w:color w:val="1F2937"/>
          <w:sz w:val="22"/>
          <w:szCs w:val="22"/>
        </w:rPr>
        <w:t xml:space="preserve"> </w:t>
      </w:r>
    </w:p>
    <w:p>
      <w:pPr>
        <w:keepNext/>
        <w:spacing w:after="40" w:before="200"/>
      </w:pPr>
      <w:r>
        <w:rPr>
          <w:rFonts w:ascii="Arial" w:cs="Arial" w:eastAsia="Arial" w:hAnsi="Arial"/>
          <w:b/>
          <w:bCs/>
          <w:color w:val="312E81"/>
          <w:sz w:val="22"/>
          <w:szCs w:val="22"/>
        </w:rPr>
        <w:t xml:space="preserve">9.4  </w:t>
      </w:r>
      <w:r>
        <w:rPr>
          <w:rFonts w:ascii="Arial" w:cs="Arial" w:eastAsia="Arial" w:hAnsi="Arial"/>
          <w:color w:val="1F2937"/>
          <w:sz w:val="22"/>
          <w:szCs w:val="22"/>
        </w:rPr>
        <w:t xml:space="preserve">Two nitration experiments give relative rates (per position) k/k₀ = 58 for para-CH₃ (σ⁺ = −0.31) and 2.5 × 10⁻⁵ for para-NO₂ (σ⁺ = +0.79). Determine ρ from each point and comment on whether nitration obeys a single Hammett line.</w:t>
      </w:r>
      <w:r>
        <w:rPr>
          <w:rFonts w:ascii="Arial" w:cs="Arial" w:eastAsia="Arial" w:hAnsi="Arial"/>
          <w:b/>
          <w:bCs/>
          <w:color w:val="D97706"/>
          <w:sz w:val="20"/>
          <w:szCs w:val="20"/>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val="false"/>
        <w:pBdr>
          <w:bottom w:val="single" w:color="A1A1AA" w:sz="4" w:space="1"/>
        </w:pBdr>
        <w:spacing w:after="0" w:before="0" w:line="420"/>
      </w:pPr>
      <w:r>
        <w:rPr>
          <w:rFonts w:ascii="Arial" w:cs="Arial" w:eastAsia="Arial" w:hAnsi="Arial"/>
          <w:color w:val="1F2937"/>
          <w:sz w:val="22"/>
          <w:szCs w:val="22"/>
        </w:rPr>
        <w:t xml:space="preserve"> </w:t>
      </w:r>
    </w:p>
    <w:p>
      <w:pPr>
        <w:spacing w:after="40" w:before="0" w:line="276"/>
      </w:pPr>
      <w:r>
        <w:rPr>
          <w:rFonts w:ascii="Arial" w:cs="Arial" w:eastAsia="Arial" w:hAnsi="Arial"/>
          <w:color w:val="1F2937"/>
          <w:sz w:val="22"/>
          <w:szCs w:val="22"/>
        </w:rPr>
        <w:t xml:space="preserve"> </w:t>
      </w:r>
    </w:p>
    <w:p>
      <w:pPr>
        <w:keepNext/>
        <w:spacing w:after="40" w:before="200"/>
      </w:pPr>
      <w:r>
        <w:rPr>
          <w:rFonts w:ascii="Arial" w:cs="Arial" w:eastAsia="Arial" w:hAnsi="Arial"/>
          <w:b/>
          <w:bCs/>
          <w:color w:val="312E81"/>
          <w:sz w:val="22"/>
          <w:szCs w:val="22"/>
        </w:rPr>
        <w:t xml:space="preserve">9.5  </w:t>
      </w:r>
      <w:r>
        <w:rPr>
          <w:rFonts w:ascii="Arial" w:cs="Arial" w:eastAsia="Arial" w:hAnsi="Arial"/>
          <w:color w:val="1F2937"/>
          <w:sz w:val="22"/>
          <w:szCs w:val="22"/>
        </w:rPr>
        <w:t xml:space="preserve">Using the toluene partial rate factors for nitration (o 42, m 2.5, p 58) and bromination (o 600, m 5.5, p 2420): (a) calculate Sf for each; (b) state the reactivity–selectivity principle; (c) predict which electrophile gives the higher proportion of meta product and check with the numbers.</w:t>
      </w:r>
      <w:r>
        <w:rPr>
          <w:rFonts w:ascii="Arial" w:cs="Arial" w:eastAsia="Arial" w:hAnsi="Arial"/>
          <w:b/>
          <w:bCs/>
          <w:color w:val="D97706"/>
          <w:sz w:val="20"/>
          <w:szCs w:val="20"/>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val="false"/>
        <w:pBdr>
          <w:bottom w:val="single" w:color="A1A1AA" w:sz="4" w:space="1"/>
        </w:pBdr>
        <w:spacing w:after="0" w:before="0" w:line="420"/>
      </w:pPr>
      <w:r>
        <w:rPr>
          <w:rFonts w:ascii="Arial" w:cs="Arial" w:eastAsia="Arial" w:hAnsi="Arial"/>
          <w:color w:val="1F2937"/>
          <w:sz w:val="22"/>
          <w:szCs w:val="22"/>
        </w:rPr>
        <w:t xml:space="preserve"> </w:t>
      </w:r>
    </w:p>
    <w:p>
      <w:pPr>
        <w:spacing w:after="40" w:before="0" w:line="276"/>
      </w:pPr>
      <w:r>
        <w:rPr>
          <w:rFonts w:ascii="Arial" w:cs="Arial" w:eastAsia="Arial" w:hAnsi="Arial"/>
          <w:color w:val="1F2937"/>
          <w:sz w:val="22"/>
          <w:szCs w:val="22"/>
        </w:rPr>
        <w:t xml:space="preserve"> </w:t>
      </w:r>
    </w:p>
    <w:tbl>
      <w:tblPr>
        <w:tblW w:type="dxa" w:w="9640"/>
        <w:tblBorders>
          <w:top w:val="single" w:color="CBD5E1" w:sz="8"/>
          <w:left w:val="single" w:color="CBD5E1" w:sz="8"/>
          <w:bottom w:val="single" w:color="CBD5E1" w:sz="8"/>
          <w:right w:val="single" w:color="CBD5E1" w:sz="8"/>
          <w:insideH w:val="single" w:color="CBD5E1" w:sz="8"/>
          <w:insideV w:val="single" w:color="CBD5E1" w:sz="8"/>
        </w:tblBorders>
      </w:tblPr>
      <w:tblGrid>
        <w:gridCol w:w="9640"/>
      </w:tblGrid>
      <w:tr>
        <w:trPr>
          <w:cantSplit/>
        </w:trPr>
        <w:tc>
          <w:tcPr>
            <w:tcW w:type="dxa" w:w="9640"/>
            <w:shd w:fill="F8FAFC" w:color="auto" w:val="clear"/>
            <w:tcMar>
              <w:top w:type="dxa" w:w="100"/>
              <w:left w:type="dxa" w:w="160"/>
              <w:bottom w:type="dxa" w:w="100"/>
              <w:right w:type="dxa" w:w="160"/>
            </w:tcMar>
          </w:tcPr>
          <w:p>
            <w:pPr>
              <w:spacing w:after="40" w:before="0" w:line="276"/>
            </w:pPr>
            <w:r>
              <w:rPr>
                <w:rFonts w:ascii="Arial" w:cs="Arial" w:eastAsia="Arial" w:hAnsi="Arial"/>
                <w:b/>
                <w:bCs/>
                <w:color w:val="312E81"/>
                <w:sz w:val="20"/>
                <w:szCs w:val="20"/>
              </w:rPr>
              <w:t xml:space="preserve">Reading for this section</w:t>
            </w:r>
          </w:p>
          <w:p>
            <w:pPr>
              <w:spacing w:after="20" w:before="20" w:line="276"/>
              <w:ind w:left="200" w:hanging="200"/>
            </w:pPr>
            <w:r>
              <w:rPr>
                <w:rFonts w:ascii="Arial" w:cs="Arial" w:eastAsia="Arial" w:hAnsi="Arial"/>
                <w:b/>
                <w:bCs/>
                <w:color w:val="312E81"/>
                <w:sz w:val="19"/>
                <w:szCs w:val="19"/>
              </w:rPr>
              <w:t xml:space="preserve">▸ </w:t>
            </w:r>
            <w:r>
              <w:rPr>
                <w:rFonts w:ascii="Arial" w:cs="Arial" w:eastAsia="Arial" w:hAnsi="Arial"/>
                <w:color w:val="1F2937"/>
                <w:sz w:val="19"/>
                <w:szCs w:val="19"/>
              </w:rPr>
              <w:t xml:space="preserve">E. V. Anslyn &amp; D. A. Dougherty, Modern Physical Organic Chemistry (University Science Books), ch. 8 'Experiments related to thermodynamics and kinetics' — the Hammett section</w:t>
            </w:r>
            <w:r>
              <w:rPr>
                <w:rFonts w:ascii="Arial" w:cs="Arial" w:eastAsia="Arial" w:hAnsi="Arial"/>
                <w:i/>
                <w:iCs/>
                <w:color w:val="4B5563"/>
                <w:sz w:val="19"/>
                <w:szCs w:val="19"/>
              </w:rPr>
              <w:t xml:space="preserve">  —  the definitive modern account of LFERs</w:t>
            </w:r>
          </w:p>
          <w:p>
            <w:pPr>
              <w:spacing w:after="20" w:before="20" w:line="276"/>
              <w:ind w:left="200" w:hanging="200"/>
            </w:pPr>
            <w:r>
              <w:rPr>
                <w:rFonts w:ascii="Arial" w:cs="Arial" w:eastAsia="Arial" w:hAnsi="Arial"/>
                <w:b/>
                <w:bCs/>
                <w:color w:val="312E81"/>
                <w:sz w:val="19"/>
                <w:szCs w:val="19"/>
              </w:rPr>
              <w:t xml:space="preserve">▸ </w:t>
            </w:r>
            <w:r>
              <w:rPr>
                <w:rFonts w:ascii="Arial" w:cs="Arial" w:eastAsia="Arial" w:hAnsi="Arial"/>
                <w:color w:val="1F2937"/>
                <w:sz w:val="19"/>
                <w:szCs w:val="19"/>
              </w:rPr>
              <w:t xml:space="preserve">L. P. Hammett, J. Am. Chem. Soc. 1937, 59, 96</w:t>
            </w:r>
            <w:r>
              <w:rPr>
                <w:rFonts w:ascii="Arial" w:cs="Arial" w:eastAsia="Arial" w:hAnsi="Arial"/>
                <w:i/>
                <w:iCs/>
                <w:color w:val="4B5563"/>
                <w:sz w:val="19"/>
                <w:szCs w:val="19"/>
              </w:rPr>
              <w:t xml:space="preserve">  —  the original paper — remarkably readable</w:t>
            </w:r>
          </w:p>
          <w:p>
            <w:pPr>
              <w:spacing w:after="20" w:before="20" w:line="276"/>
              <w:ind w:left="200" w:hanging="200"/>
            </w:pPr>
            <w:r>
              <w:rPr>
                <w:rFonts w:ascii="Arial" w:cs="Arial" w:eastAsia="Arial" w:hAnsi="Arial"/>
                <w:b/>
                <w:bCs/>
                <w:color w:val="312E81"/>
                <w:sz w:val="19"/>
                <w:szCs w:val="19"/>
              </w:rPr>
              <w:t xml:space="preserve">▸ </w:t>
            </w:r>
            <w:r>
              <w:rPr>
                <w:rFonts w:ascii="Arial" w:cs="Arial" w:eastAsia="Arial" w:hAnsi="Arial"/>
                <w:color w:val="1F2937"/>
                <w:sz w:val="19"/>
                <w:szCs w:val="19"/>
              </w:rPr>
              <w:t xml:space="preserve">H. C. Brown &amp; Y. Okamoto, J. Am. Chem. Soc. 1958, 80, 4979</w:t>
            </w:r>
            <w:r>
              <w:rPr>
                <w:rFonts w:ascii="Arial" w:cs="Arial" w:eastAsia="Arial" w:hAnsi="Arial"/>
                <w:i/>
                <w:iCs/>
                <w:color w:val="4B5563"/>
                <w:sz w:val="19"/>
                <w:szCs w:val="19"/>
              </w:rPr>
              <w:t xml:space="preserve">  —  the σ⁺ scale</w:t>
            </w:r>
          </w:p>
          <w:p>
            <w:pPr>
              <w:spacing w:after="20" w:before="20" w:line="276"/>
              <w:ind w:left="200" w:hanging="200"/>
            </w:pPr>
            <w:r>
              <w:rPr>
                <w:rFonts w:ascii="Arial" w:cs="Arial" w:eastAsia="Arial" w:hAnsi="Arial"/>
                <w:b/>
                <w:bCs/>
                <w:color w:val="312E81"/>
                <w:sz w:val="19"/>
                <w:szCs w:val="19"/>
              </w:rPr>
              <w:t xml:space="preserve">▸ </w:t>
            </w:r>
            <w:r>
              <w:rPr>
                <w:rFonts w:ascii="Arial" w:cs="Arial" w:eastAsia="Arial" w:hAnsi="Arial"/>
                <w:color w:val="1F2937"/>
                <w:sz w:val="19"/>
                <w:szCs w:val="19"/>
              </w:rPr>
              <w:t xml:space="preserve">C. Hansch, A. Leo &amp; R. W. Taft, Chem. Rev. 1991, 91, 165</w:t>
            </w:r>
            <w:r>
              <w:rPr>
                <w:rFonts w:ascii="Arial" w:cs="Arial" w:eastAsia="Arial" w:hAnsi="Arial"/>
                <w:i/>
                <w:iCs/>
                <w:color w:val="4B5563"/>
                <w:sz w:val="19"/>
                <w:szCs w:val="19"/>
              </w:rPr>
              <w:t xml:space="preserve">  —  the big table of σ values</w:t>
            </w:r>
          </w:p>
        </w:tc>
      </w:tr>
    </w:tbl>
    <w:p>
      <w:pPr>
        <w:spacing w:after="40" w:before="0" w:line="276"/>
      </w:pPr>
      <w:r>
        <w:rPr>
          <w:rFonts w:ascii="Arial" w:cs="Arial" w:eastAsia="Arial" w:hAnsi="Arial"/>
          <w:color w:val="1F2937"/>
          <w:sz w:val="22"/>
          <w:szCs w:val="22"/>
        </w:rPr>
        <w:t xml:space="preserve"> </w:t>
      </w:r>
    </w:p>
    <w:p>
      <w:pPr>
        <w:pageBreakBefore/>
        <w:spacing w:after="0" w:before="0" w:line="20"/>
      </w:pPr>
      <w:r>
        <w:rPr>
          <w:sz w:val="2"/>
          <w:szCs w:val="2"/>
        </w:rPr>
        <w:t xml:space="preserve"/>
      </w:r>
    </w:p>
    <w:tbl>
      <w:tblPr>
        <w:tblW w:type="dxa" w:w="9640"/>
        <w:tblBorders>
          <w:top w:val="none" w:color="FFFFFF" w:sz="0"/>
          <w:left w:val="none" w:color="FFFFFF" w:sz="0"/>
          <w:bottom w:val="none" w:color="FFFFFF" w:sz="0"/>
          <w:right w:val="none" w:color="FFFFFF" w:sz="0"/>
          <w:insideH w:val="none" w:color="FFFFFF" w:sz="0"/>
          <w:insideV w:val="none" w:color="FFFFFF" w:sz="0"/>
        </w:tblBorders>
      </w:tblPr>
      <w:tblGrid>
        <w:gridCol w:w="9640"/>
      </w:tblGrid>
      <w:tr>
        <w:trPr>
          <w:cantSplit/>
        </w:trPr>
        <w:tc>
          <w:tcPr>
            <w:tcW w:type="dxa" w:w="9640"/>
            <w:shd w:fill="312E81" w:color="auto" w:val="clear"/>
            <w:tcMar>
              <w:top w:type="dxa" w:w="160"/>
              <w:left w:type="dxa" w:w="240"/>
              <w:bottom w:type="dxa" w:w="160"/>
              <w:right w:type="dxa" w:w="240"/>
            </w:tcMar>
          </w:tcPr>
          <w:p>
            <w:pPr>
              <w:tabs>
                <w:tab w:val="right" w:pos="9160"/>
              </w:tabs>
              <w:spacing w:after="0" w:before="0" w:line="276"/>
            </w:pPr>
            <w:r>
              <w:rPr>
                <w:rFonts w:ascii="Arial" w:cs="Arial" w:eastAsia="Arial" w:hAnsi="Arial"/>
                <w:b/>
                <w:bCs/>
                <w:color w:val="FFFFFF"/>
                <w:sz w:val="22"/>
                <w:szCs w:val="22"/>
              </w:rPr>
              <w:t xml:space="preserve">Section 10</w:t>
            </w:r>
            <w:r>
              <w:rPr>
                <w:rFonts w:ascii="Arial" w:cs="Arial" w:eastAsia="Arial" w:hAnsi="Arial"/>
                <w:b/>
                <w:bCs/>
                <w:color w:val="FFFFFF"/>
                <w:sz w:val="18"/>
                <w:szCs w:val="18"/>
              </w:rPr>
              <w:t xml:space="preserve">	PART B · SECOND-YEAR UNDERGRADUATE LEVEL</w:t>
            </w:r>
          </w:p>
          <w:p>
            <w:pPr>
              <w:spacing w:after="40" w:before="40" w:line="276"/>
            </w:pPr>
            <w:r>
              <w:rPr>
                <w:rFonts w:ascii="Arial" w:cs="Arial" w:eastAsia="Arial" w:hAnsi="Arial"/>
                <w:b/>
                <w:bCs/>
                <w:color w:val="FFFFFF"/>
                <w:sz w:val="32"/>
                <w:szCs w:val="32"/>
              </w:rPr>
              <w:t xml:space="preserve">Electrophilic substitution at research depth</w:t>
            </w:r>
          </w:p>
          <w:p>
            <w:pPr>
              <w:spacing w:after="0" w:before="0" w:line="276"/>
            </w:pPr>
            <w:r>
              <w:rPr>
                <w:rFonts w:ascii="Arial" w:cs="Arial" w:eastAsia="Arial" w:hAnsi="Arial"/>
                <w:i/>
                <w:iCs/>
                <w:color w:val="F5F3FF"/>
                <w:sz w:val="21"/>
                <w:szCs w:val="21"/>
              </w:rPr>
              <w:t xml:space="preserve">Evidence for the nitronium ion, complexes you can isolate, reactions that go backwards, and what happens when the electrophile attacks a carbon that already has a substituent.</w:t>
            </w:r>
          </w:p>
        </w:tc>
      </w:tr>
    </w:tbl>
    <w:p>
      <w:pPr>
        <w:spacing w:after="40" w:before="0" w:line="276"/>
      </w:pPr>
      <w:r>
        <w:rPr>
          <w:rFonts w:ascii="Arial" w:cs="Arial" w:eastAsia="Arial" w:hAnsi="Arial"/>
          <w:color w:val="1F2937"/>
          <w:sz w:val="22"/>
          <w:szCs w:val="22"/>
        </w:rPr>
        <w:t xml:space="preserve"> </w:t>
      </w:r>
    </w:p>
    <w:tbl>
      <w:tblPr>
        <w:tblW w:type="dxa" w:w="9640"/>
        <w:tblBorders>
          <w:top w:val="single" w:color="14B8A6" w:sz="8"/>
          <w:left w:val="single" w:color="14B8A6" w:sz="8"/>
          <w:bottom w:val="single" w:color="14B8A6" w:sz="8"/>
          <w:right w:val="single" w:color="14B8A6" w:sz="8"/>
          <w:insideH w:val="single" w:color="14B8A6" w:sz="8"/>
          <w:insideV w:val="single" w:color="14B8A6" w:sz="8"/>
        </w:tblBorders>
      </w:tblPr>
      <w:tblGrid>
        <w:gridCol w:w="9640"/>
      </w:tblGrid>
      <w:tr>
        <w:trPr>
          <w:cantSplit/>
        </w:trPr>
        <w:tc>
          <w:tcPr>
            <w:tcW w:type="dxa" w:w="9640"/>
            <w:shd w:fill="CCFBF1" w:color="auto" w:val="clear"/>
            <w:tcMar>
              <w:top w:type="dxa" w:w="100"/>
              <w:left w:type="dxa" w:w="160"/>
              <w:bottom w:type="dxa" w:w="100"/>
              <w:right w:type="dxa" w:w="160"/>
            </w:tcMar>
          </w:tcPr>
          <w:p>
            <w:pPr>
              <w:spacing w:after="40" w:before="0" w:line="276"/>
            </w:pPr>
            <w:r>
              <w:rPr>
                <w:rFonts w:ascii="Arial" w:cs="Arial" w:eastAsia="Arial" w:hAnsi="Arial"/>
                <w:b/>
                <w:bCs/>
                <w:color w:val="0F766E"/>
                <w:sz w:val="22"/>
                <w:szCs w:val="22"/>
              </w:rPr>
              <w:t xml:space="preserve">Key facts</w:t>
            </w:r>
          </w:p>
          <w:p>
            <w:pPr>
              <w:spacing w:after="20" w:before="20" w:line="276"/>
            </w:pPr>
            <w:r>
              <w:rPr>
                <w:rFonts w:ascii="Arial" w:cs="Arial" w:eastAsia="Arial" w:hAnsi="Arial"/>
                <w:color w:val="1F2937"/>
                <w:sz w:val="21"/>
                <w:szCs w:val="21"/>
              </w:rPr>
              <w:t xml:space="preserve">•  Evidence for NO₂⁺ (Ingold, Hughes, Gillespie, 1940s–50): Raman spectra of HNO₃/H₂SO₄ show a band at 1400 cm⁻¹ from the linear NO₂⁺ ion; freezing-point depression shows that each HNO₃ in H₂SO₄ gives FOUR particles (van 't Hoff factor i = 4): HNO₃ + 2H₂SO₄ → NO₂⁺ + H₃O⁺ + 2HSO₄⁻; and nitronium salts such as NO₂⁺BF₄⁻ (Olah, 1961) nitrate benzene cleanly in nitromethane with no acid at all.</w:t>
            </w:r>
          </w:p>
          <w:p>
            <w:pPr>
              <w:spacing w:after="20" w:before="20" w:line="276"/>
            </w:pPr>
            <w:r>
              <w:rPr>
                <w:rFonts w:ascii="Arial" w:cs="Arial" w:eastAsia="Arial" w:hAnsi="Arial"/>
                <w:color w:val="1F2937"/>
                <w:sz w:val="21"/>
                <w:szCs w:val="21"/>
              </w:rPr>
              <w:t xml:space="preserve">•  π-complex vs σ-complex: the electrophile first forms a loose π-complex with the whole ring, then the σ-complex (the Wheland intermediate). σ-Complexes can be isolated: heptamethylbenzenium tetrachloroaluminate (Doering, 1958) and many arenium ions in superacids at −80 °C (Olah) — their NMR spectra show the sp³ CH.</w:t>
            </w:r>
          </w:p>
          <w:p>
            <w:pPr>
              <w:spacing w:after="20" w:before="20" w:line="276"/>
            </w:pPr>
            <w:r>
              <w:rPr>
                <w:rFonts w:ascii="Arial" w:cs="Arial" w:eastAsia="Arial" w:hAnsi="Arial"/>
                <w:color w:val="1F2937"/>
                <w:sz w:val="21"/>
                <w:szCs w:val="21"/>
              </w:rPr>
              <w:t xml:space="preserve">•  Encounter control: with very reactive substrates (toluene, mesitylene, phenol) nitration by NO₂⁺ becomes as fast as the molecules can diffuse together, so their rates are all the same (the 'encounter pair', Ridd). Hammett plots flatten at the top.</w:t>
            </w:r>
          </w:p>
          <w:p>
            <w:pPr>
              <w:spacing w:after="20" w:before="20" w:line="276"/>
            </w:pPr>
            <w:r>
              <w:rPr>
                <w:rFonts w:ascii="Arial" w:cs="Arial" w:eastAsia="Arial" w:hAnsi="Arial"/>
                <w:color w:val="1F2937"/>
                <w:sz w:val="21"/>
                <w:szCs w:val="21"/>
              </w:rPr>
              <w:t xml:space="preserve">•  Kinetic isotope effects (kH/kD): nitration ≈ 1.0; bromination ≈ 1; sulfonation 1.6–2; iodination ≈ 4; azo coupling up to 6.5. A KIE appears whenever the second step (C–H cleavage) becomes partly rate-determining — weak or bulky electrophiles, reversible first step, base catalysis.</w:t>
            </w:r>
          </w:p>
          <w:p>
            <w:pPr>
              <w:spacing w:after="20" w:before="20" w:line="276"/>
            </w:pPr>
            <w:r>
              <w:rPr>
                <w:rFonts w:ascii="Arial" w:cs="Arial" w:eastAsia="Arial" w:hAnsi="Arial"/>
                <w:color w:val="1F2937"/>
                <w:sz w:val="21"/>
                <w:szCs w:val="21"/>
              </w:rPr>
              <w:t xml:space="preserve">•  Reversibility: sulfonation (steam/dilute acid removes –SO₃H) and Friedel–Crafts alkylation are reversible. Under thermodynamic control alkylation gives the most stable isomer: AlCl₃/HCl isomerises 1,2- and 1,4-dimethylbenzene to 1,3-dimethylbenzene (the meta isomer is the most stable because neither methyl group is crowded and the cation intermediate is best stabilised).</w:t>
            </w:r>
          </w:p>
          <w:p>
            <w:pPr>
              <w:spacing w:after="20" w:before="20" w:line="276"/>
            </w:pPr>
            <w:r>
              <w:rPr>
                <w:rFonts w:ascii="Arial" w:cs="Arial" w:eastAsia="Arial" w:hAnsi="Arial"/>
                <w:color w:val="1F2937"/>
                <w:sz w:val="21"/>
                <w:szCs w:val="21"/>
              </w:rPr>
              <w:t xml:space="preserve">•  Ipso substitution: attack at a carbon that already carries a substituent, which then leaves as a cation: ArSiMe₃ + E⁺ → ArE + Me₃Si⁺ (the β-silicon effect stabilises the intermediate), ArSO₃H → ArH (desulfonation), ArCMe₃ + H⁺ → ArH + Me₃C⁺ (de-tert-butylation).</w:t>
            </w:r>
          </w:p>
        </w:tc>
      </w:tr>
    </w:tbl>
    <w:p>
      <w:pPr>
        <w:keepNext/>
        <w:spacing w:after="40" w:before="200"/>
      </w:pPr>
      <w:r>
        <w:rPr>
          <w:rFonts w:ascii="Arial" w:cs="Arial" w:eastAsia="Arial" w:hAnsi="Arial"/>
          <w:b/>
          <w:bCs/>
          <w:color w:val="312E81"/>
          <w:sz w:val="22"/>
          <w:szCs w:val="22"/>
        </w:rPr>
        <w:t xml:space="preserve">10.1  </w:t>
      </w:r>
      <w:r>
        <w:rPr>
          <w:rFonts w:ascii="Arial" w:cs="Arial" w:eastAsia="Arial" w:hAnsi="Arial"/>
          <w:color w:val="1F2937"/>
          <w:sz w:val="22"/>
          <w:szCs w:val="22"/>
        </w:rPr>
        <w:t xml:space="preserve">Predict the van 't Hoff factor i for (a) HNO₃ dissolved in 100% H₂SO₄, (b) ethanol dissolved in 100% H₂SO₄ (which forms EtOSO₃H). Write the ionisation equations. Why was measurement (a) such strong evidence for NO₂⁺?</w:t>
      </w:r>
      <w:r>
        <w:rPr>
          <w:rFonts w:ascii="Arial" w:cs="Arial" w:eastAsia="Arial" w:hAnsi="Arial"/>
          <w:b/>
          <w:bCs/>
          <w:color w:val="D97706"/>
          <w:sz w:val="20"/>
          <w:szCs w:val="20"/>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val="false"/>
        <w:pBdr>
          <w:bottom w:val="single" w:color="A1A1AB" w:sz="4" w:space="1"/>
        </w:pBdr>
        <w:spacing w:after="0" w:before="0" w:line="420"/>
      </w:pPr>
      <w:r>
        <w:rPr>
          <w:rFonts w:ascii="Arial" w:cs="Arial" w:eastAsia="Arial" w:hAnsi="Arial"/>
          <w:color w:val="1F2937"/>
          <w:sz w:val="22"/>
          <w:szCs w:val="22"/>
        </w:rPr>
        <w:t xml:space="preserve"> </w:t>
      </w:r>
    </w:p>
    <w:p>
      <w:pPr>
        <w:spacing w:after="40" w:before="0" w:line="276"/>
      </w:pPr>
      <w:r>
        <w:rPr>
          <w:rFonts w:ascii="Arial" w:cs="Arial" w:eastAsia="Arial" w:hAnsi="Arial"/>
          <w:color w:val="1F2937"/>
          <w:sz w:val="22"/>
          <w:szCs w:val="22"/>
        </w:rPr>
        <w:t xml:space="preserve"> </w:t>
      </w:r>
    </w:p>
    <w:p>
      <w:pPr>
        <w:keepNext/>
        <w:spacing w:after="40" w:before="200"/>
      </w:pPr>
      <w:r>
        <w:rPr>
          <w:rFonts w:ascii="Arial" w:cs="Arial" w:eastAsia="Arial" w:hAnsi="Arial"/>
          <w:b/>
          <w:bCs/>
          <w:color w:val="312E81"/>
          <w:sz w:val="22"/>
          <w:szCs w:val="22"/>
        </w:rPr>
        <w:t xml:space="preserve">10.2  </w:t>
      </w:r>
      <w:r>
        <w:rPr>
          <w:rFonts w:ascii="Arial" w:cs="Arial" w:eastAsia="Arial" w:hAnsi="Arial"/>
          <w:color w:val="1F2937"/>
          <w:sz w:val="22"/>
          <w:szCs w:val="22"/>
        </w:rPr>
        <w:t xml:space="preserve">Nitration of toluene, mesitylene (1,3,5-trimethylbenzene) and methoxybenzene by nitric acid in sulfolane all proceed at the same rate, even though their partial rate factors differ by orders of magnitude. Explain, and say what this implies about the position at which reaction occurs.</w:t>
      </w:r>
      <w:r>
        <w:rPr>
          <w:rFonts w:ascii="Arial" w:cs="Arial" w:eastAsia="Arial" w:hAnsi="Arial"/>
          <w:b/>
          <w:bCs/>
          <w:color w:val="D97706"/>
          <w:sz w:val="20"/>
          <w:szCs w:val="20"/>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val="false"/>
        <w:pBdr>
          <w:bottom w:val="single" w:color="A1A1AB" w:sz="4" w:space="1"/>
        </w:pBdr>
        <w:spacing w:after="0" w:before="0" w:line="420"/>
      </w:pPr>
      <w:r>
        <w:rPr>
          <w:rFonts w:ascii="Arial" w:cs="Arial" w:eastAsia="Arial" w:hAnsi="Arial"/>
          <w:color w:val="1F2937"/>
          <w:sz w:val="22"/>
          <w:szCs w:val="22"/>
        </w:rPr>
        <w:t xml:space="preserve"> </w:t>
      </w:r>
    </w:p>
    <w:p>
      <w:pPr>
        <w:spacing w:after="40" w:before="0" w:line="276"/>
      </w:pPr>
      <w:r>
        <w:rPr>
          <w:rFonts w:ascii="Arial" w:cs="Arial" w:eastAsia="Arial" w:hAnsi="Arial"/>
          <w:color w:val="1F2937"/>
          <w:sz w:val="22"/>
          <w:szCs w:val="22"/>
        </w:rPr>
        <w:t xml:space="preserve"> </w:t>
      </w:r>
    </w:p>
    <w:p>
      <w:pPr>
        <w:keepNext/>
        <w:spacing w:after="40" w:before="200"/>
      </w:pPr>
      <w:r>
        <w:rPr>
          <w:rFonts w:ascii="Arial" w:cs="Arial" w:eastAsia="Arial" w:hAnsi="Arial"/>
          <w:b/>
          <w:bCs/>
          <w:color w:val="312E81"/>
          <w:sz w:val="22"/>
          <w:szCs w:val="22"/>
        </w:rPr>
        <w:t xml:space="preserve">10.3  </w:t>
      </w:r>
      <w:r>
        <w:rPr>
          <w:rFonts w:ascii="Arial" w:cs="Arial" w:eastAsia="Arial" w:hAnsi="Arial"/>
          <w:color w:val="1F2937"/>
          <w:sz w:val="22"/>
          <w:szCs w:val="22"/>
        </w:rPr>
        <w:t xml:space="preserve">Azo coupling of benzenediazonium ions with 2-naphthol-6,8-disulfonate shows kH/kD ≈ 6.5 and is catalysed by pyridine. Nitration of the same substrate shows kH/kD ≈ 1. Explain both observations with energy profiles.</w:t>
      </w:r>
      <w:r>
        <w:rPr>
          <w:rFonts w:ascii="Arial" w:cs="Arial" w:eastAsia="Arial" w:hAnsi="Arial"/>
          <w:b/>
          <w:bCs/>
          <w:color w:val="D97706"/>
          <w:sz w:val="20"/>
          <w:szCs w:val="20"/>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val="false"/>
        <w:pBdr>
          <w:bottom w:val="single" w:color="A1A1AB" w:sz="4" w:space="1"/>
        </w:pBdr>
        <w:spacing w:after="0" w:before="0" w:line="420"/>
      </w:pPr>
      <w:r>
        <w:rPr>
          <w:rFonts w:ascii="Arial" w:cs="Arial" w:eastAsia="Arial" w:hAnsi="Arial"/>
          <w:color w:val="1F2937"/>
          <w:sz w:val="22"/>
          <w:szCs w:val="22"/>
        </w:rPr>
        <w:t xml:space="preserve"> </w:t>
      </w:r>
    </w:p>
    <w:p>
      <w:pPr>
        <w:spacing w:after="40" w:before="0" w:line="276"/>
      </w:pPr>
      <w:r>
        <w:rPr>
          <w:rFonts w:ascii="Arial" w:cs="Arial" w:eastAsia="Arial" w:hAnsi="Arial"/>
          <w:color w:val="1F2937"/>
          <w:sz w:val="22"/>
          <w:szCs w:val="22"/>
        </w:rPr>
        <w:t xml:space="preserve"> </w:t>
      </w:r>
    </w:p>
    <w:p>
      <w:pPr>
        <w:keepNext/>
        <w:spacing w:after="40" w:before="200"/>
      </w:pPr>
      <w:r>
        <w:rPr>
          <w:rFonts w:ascii="Arial" w:cs="Arial" w:eastAsia="Arial" w:hAnsi="Arial"/>
          <w:b/>
          <w:bCs/>
          <w:color w:val="312E81"/>
          <w:sz w:val="22"/>
          <w:szCs w:val="22"/>
        </w:rPr>
        <w:t xml:space="preserve">10.4  </w:t>
      </w:r>
      <w:r>
        <w:rPr>
          <w:rFonts w:ascii="Arial" w:cs="Arial" w:eastAsia="Arial" w:hAnsi="Arial"/>
          <w:color w:val="1F2937"/>
          <w:sz w:val="22"/>
          <w:szCs w:val="22"/>
        </w:rPr>
        <w:t xml:space="preserve">4-Methylphenyltrimethylsilane, 4-CH₃C₆H₄SiMe₃, reacts with Br₂ to give 4-bromotoluene. Draw the mechanism and explain why substitution occurs at the ipso carbon rather than ortho to the methyl group.</w:t>
      </w:r>
      <w:r>
        <w:rPr>
          <w:rFonts w:ascii="Arial" w:cs="Arial" w:eastAsia="Arial" w:hAnsi="Arial"/>
          <w:b/>
          <w:bCs/>
          <w:color w:val="D97706"/>
          <w:sz w:val="20"/>
          <w:szCs w:val="20"/>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val="false"/>
        <w:pBdr>
          <w:bottom w:val="single" w:color="A1A1AA" w:sz="4" w:space="1"/>
        </w:pBdr>
        <w:spacing w:after="0" w:before="0" w:line="420"/>
      </w:pPr>
      <w:r>
        <w:rPr>
          <w:rFonts w:ascii="Arial" w:cs="Arial" w:eastAsia="Arial" w:hAnsi="Arial"/>
          <w:color w:val="1F2937"/>
          <w:sz w:val="22"/>
          <w:szCs w:val="22"/>
        </w:rPr>
        <w:t xml:space="preserve"> </w:t>
      </w:r>
    </w:p>
    <w:p>
      <w:pPr>
        <w:spacing w:after="40" w:before="0" w:line="276"/>
      </w:pPr>
      <w:r>
        <w:rPr>
          <w:rFonts w:ascii="Arial" w:cs="Arial" w:eastAsia="Arial" w:hAnsi="Arial"/>
          <w:color w:val="1F2937"/>
          <w:sz w:val="22"/>
          <w:szCs w:val="22"/>
        </w:rPr>
        <w:t xml:space="preserve"> </w:t>
      </w:r>
    </w:p>
    <w:p>
      <w:pPr>
        <w:keepNext/>
        <w:spacing w:after="40" w:before="200"/>
      </w:pPr>
      <w:r>
        <w:rPr>
          <w:rFonts w:ascii="Arial" w:cs="Arial" w:eastAsia="Arial" w:hAnsi="Arial"/>
          <w:b/>
          <w:bCs/>
          <w:color w:val="312E81"/>
          <w:sz w:val="22"/>
          <w:szCs w:val="22"/>
        </w:rPr>
        <w:t xml:space="preserve">10.5  </w:t>
      </w:r>
      <w:r>
        <w:rPr>
          <w:rFonts w:ascii="Arial" w:cs="Arial" w:eastAsia="Arial" w:hAnsi="Arial"/>
          <w:color w:val="1F2937"/>
          <w:sz w:val="22"/>
          <w:szCs w:val="22"/>
        </w:rPr>
        <w:t xml:space="preserve">Under kinetic control, methylation of toluene (CH₃Cl/AlCl₃, 0 °C) gives mainly 1,2- and 1,4-dimethylbenzene; on prolonged heating with AlCl₃/HCl the mixture becomes mostly 1,3-dimethylbenzene. Explain both results and draw the intermediate responsible for the isomerisation.</w:t>
      </w:r>
      <w:r>
        <w:rPr>
          <w:rFonts w:ascii="Arial" w:cs="Arial" w:eastAsia="Arial" w:hAnsi="Arial"/>
          <w:b/>
          <w:bCs/>
          <w:color w:val="D97706"/>
          <w:sz w:val="20"/>
          <w:szCs w:val="20"/>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val="false"/>
        <w:pBdr>
          <w:bottom w:val="single" w:color="A1A1AB" w:sz="4" w:space="1"/>
        </w:pBdr>
        <w:spacing w:after="0" w:before="0" w:line="420"/>
      </w:pPr>
      <w:r>
        <w:rPr>
          <w:rFonts w:ascii="Arial" w:cs="Arial" w:eastAsia="Arial" w:hAnsi="Arial"/>
          <w:color w:val="1F2937"/>
          <w:sz w:val="22"/>
          <w:szCs w:val="22"/>
        </w:rPr>
        <w:t xml:space="preserve"> </w:t>
      </w:r>
    </w:p>
    <w:p>
      <w:pPr>
        <w:spacing w:after="40" w:before="0" w:line="276"/>
      </w:pPr>
      <w:r>
        <w:rPr>
          <w:rFonts w:ascii="Arial" w:cs="Arial" w:eastAsia="Arial" w:hAnsi="Arial"/>
          <w:color w:val="1F2937"/>
          <w:sz w:val="22"/>
          <w:szCs w:val="22"/>
        </w:rPr>
        <w:t xml:space="preserve"> </w:t>
      </w:r>
    </w:p>
    <w:tbl>
      <w:tblPr>
        <w:tblW w:type="dxa" w:w="9640"/>
        <w:tblBorders>
          <w:top w:val="single" w:color="CBD5E1" w:sz="8"/>
          <w:left w:val="single" w:color="CBD5E1" w:sz="8"/>
          <w:bottom w:val="single" w:color="CBD5E1" w:sz="8"/>
          <w:right w:val="single" w:color="CBD5E1" w:sz="8"/>
          <w:insideH w:val="single" w:color="CBD5E1" w:sz="8"/>
          <w:insideV w:val="single" w:color="CBD5E1" w:sz="8"/>
        </w:tblBorders>
      </w:tblPr>
      <w:tblGrid>
        <w:gridCol w:w="9640"/>
      </w:tblGrid>
      <w:tr>
        <w:trPr>
          <w:cantSplit/>
        </w:trPr>
        <w:tc>
          <w:tcPr>
            <w:tcW w:type="dxa" w:w="9640"/>
            <w:shd w:fill="F8FAFC" w:color="auto" w:val="clear"/>
            <w:tcMar>
              <w:top w:type="dxa" w:w="100"/>
              <w:left w:type="dxa" w:w="160"/>
              <w:bottom w:type="dxa" w:w="100"/>
              <w:right w:type="dxa" w:w="160"/>
            </w:tcMar>
          </w:tcPr>
          <w:p>
            <w:pPr>
              <w:spacing w:after="40" w:before="0" w:line="276"/>
            </w:pPr>
            <w:r>
              <w:rPr>
                <w:rFonts w:ascii="Arial" w:cs="Arial" w:eastAsia="Arial" w:hAnsi="Arial"/>
                <w:b/>
                <w:bCs/>
                <w:color w:val="312E81"/>
                <w:sz w:val="20"/>
                <w:szCs w:val="20"/>
              </w:rPr>
              <w:t xml:space="preserve">Reading for this section</w:t>
            </w:r>
          </w:p>
          <w:p>
            <w:pPr>
              <w:spacing w:after="20" w:before="20" w:line="276"/>
              <w:ind w:left="200" w:hanging="200"/>
            </w:pPr>
            <w:r>
              <w:rPr>
                <w:rFonts w:ascii="Arial" w:cs="Arial" w:eastAsia="Arial" w:hAnsi="Arial"/>
                <w:b/>
                <w:bCs/>
                <w:color w:val="312E81"/>
                <w:sz w:val="19"/>
                <w:szCs w:val="19"/>
              </w:rPr>
              <w:t xml:space="preserve">▸ </w:t>
            </w:r>
            <w:r>
              <w:rPr>
                <w:rFonts w:ascii="Arial" w:cs="Arial" w:eastAsia="Arial" w:hAnsi="Arial"/>
                <w:color w:val="1F2937"/>
                <w:sz w:val="19"/>
                <w:szCs w:val="19"/>
              </w:rPr>
              <w:t xml:space="preserve">R. Taylor, Electrophilic Aromatic Substitution (Wiley, 1990)</w:t>
            </w:r>
            <w:r>
              <w:rPr>
                <w:rFonts w:ascii="Arial" w:cs="Arial" w:eastAsia="Arial" w:hAnsi="Arial"/>
                <w:i/>
                <w:iCs/>
                <w:color w:val="4B5563"/>
                <w:sz w:val="19"/>
                <w:szCs w:val="19"/>
              </w:rPr>
              <w:t xml:space="preserve">  —  the monograph: everything measured up to 1990, with tables of partial rate factors</w:t>
            </w:r>
          </w:p>
          <w:p>
            <w:pPr>
              <w:spacing w:after="20" w:before="20" w:line="276"/>
              <w:ind w:left="200" w:hanging="200"/>
            </w:pPr>
            <w:r>
              <w:rPr>
                <w:rFonts w:ascii="Arial" w:cs="Arial" w:eastAsia="Arial" w:hAnsi="Arial"/>
                <w:b/>
                <w:bCs/>
                <w:color w:val="312E81"/>
                <w:sz w:val="19"/>
                <w:szCs w:val="19"/>
              </w:rPr>
              <w:t xml:space="preserve">▸ </w:t>
            </w:r>
            <w:r>
              <w:rPr>
                <w:rFonts w:ascii="Arial" w:cs="Arial" w:eastAsia="Arial" w:hAnsi="Arial"/>
                <w:color w:val="1F2937"/>
                <w:sz w:val="19"/>
                <w:szCs w:val="19"/>
              </w:rPr>
              <w:t xml:space="preserve">G. A. Olah, Acc. Chem. Res. 1971, 4, 240</w:t>
            </w:r>
            <w:r>
              <w:rPr>
                <w:rFonts w:ascii="Arial" w:cs="Arial" w:eastAsia="Arial" w:hAnsi="Arial"/>
                <w:i/>
                <w:iCs/>
                <w:color w:val="4B5563"/>
                <w:sz w:val="19"/>
                <w:szCs w:val="19"/>
              </w:rPr>
              <w:t xml:space="preserve">  —  σ- and π-complexes, with the NMR evidence</w:t>
            </w:r>
          </w:p>
          <w:p>
            <w:pPr>
              <w:spacing w:after="20" w:before="20" w:line="276"/>
              <w:ind w:left="200" w:hanging="200"/>
            </w:pPr>
            <w:r>
              <w:rPr>
                <w:rFonts w:ascii="Arial" w:cs="Arial" w:eastAsia="Arial" w:hAnsi="Arial"/>
                <w:b/>
                <w:bCs/>
                <w:color w:val="312E81"/>
                <w:sz w:val="19"/>
                <w:szCs w:val="19"/>
              </w:rPr>
              <w:t xml:space="preserve">▸ </w:t>
            </w:r>
            <w:r>
              <w:rPr>
                <w:rFonts w:ascii="Arial" w:cs="Arial" w:eastAsia="Arial" w:hAnsi="Arial"/>
                <w:color w:val="1F2937"/>
                <w:sz w:val="19"/>
                <w:szCs w:val="19"/>
              </w:rPr>
              <w:t xml:space="preserve">J. H. Ridd, Chem. Soc. Rev. 1991, 20, 149</w:t>
            </w:r>
            <w:r>
              <w:rPr>
                <w:rFonts w:ascii="Arial" w:cs="Arial" w:eastAsia="Arial" w:hAnsi="Arial"/>
                <w:i/>
                <w:iCs/>
                <w:color w:val="4B5563"/>
                <w:sz w:val="19"/>
                <w:szCs w:val="19"/>
              </w:rPr>
              <w:t xml:space="preserve">  —  encounter pairs and the fine mechanism of nitration</w:t>
            </w:r>
          </w:p>
          <w:p>
            <w:pPr>
              <w:spacing w:after="20" w:before="20" w:line="276"/>
              <w:ind w:left="200" w:hanging="200"/>
            </w:pPr>
            <w:r>
              <w:rPr>
                <w:rFonts w:ascii="Arial" w:cs="Arial" w:eastAsia="Arial" w:hAnsi="Arial"/>
                <w:b/>
                <w:bCs/>
                <w:color w:val="312E81"/>
                <w:sz w:val="19"/>
                <w:szCs w:val="19"/>
              </w:rPr>
              <w:t xml:space="preserve">▸ </w:t>
            </w:r>
            <w:r>
              <w:rPr>
                <w:rFonts w:ascii="Arial" w:cs="Arial" w:eastAsia="Arial" w:hAnsi="Arial"/>
                <w:color w:val="1F2937"/>
                <w:sz w:val="19"/>
                <w:szCs w:val="19"/>
              </w:rPr>
              <w:t xml:space="preserve">Clayden ch. 21 &amp; ch. 40 (kinetic vs thermodynamic control)</w:t>
            </w:r>
            <w:r>
              <w:rPr>
                <w:rFonts w:ascii="Arial" w:cs="Arial" w:eastAsia="Arial" w:hAnsi="Arial"/>
                <w:i/>
                <w:iCs/>
                <w:color w:val="4B5563"/>
                <w:sz w:val="19"/>
                <w:szCs w:val="19"/>
              </w:rPr>
              <w:t xml:space="preserve">  —  the thermodynamic isomerisation of alkylbenzenes</w:t>
            </w:r>
          </w:p>
        </w:tc>
      </w:tr>
    </w:tbl>
    <w:p>
      <w:pPr>
        <w:spacing w:after="40" w:before="0" w:line="276"/>
      </w:pPr>
      <w:r>
        <w:rPr>
          <w:rFonts w:ascii="Arial" w:cs="Arial" w:eastAsia="Arial" w:hAnsi="Arial"/>
          <w:color w:val="1F2937"/>
          <w:sz w:val="22"/>
          <w:szCs w:val="22"/>
        </w:rPr>
        <w:t xml:space="preserve"> </w:t>
      </w:r>
    </w:p>
    <w:p>
      <w:pPr>
        <w:pageBreakBefore/>
        <w:spacing w:after="0" w:before="0" w:line="20"/>
      </w:pPr>
      <w:r>
        <w:rPr>
          <w:sz w:val="2"/>
          <w:szCs w:val="2"/>
        </w:rPr>
        <w:t xml:space="preserve"/>
      </w:r>
    </w:p>
    <w:tbl>
      <w:tblPr>
        <w:tblW w:type="dxa" w:w="9640"/>
        <w:tblBorders>
          <w:top w:val="none" w:color="FFFFFF" w:sz="0"/>
          <w:left w:val="none" w:color="FFFFFF" w:sz="0"/>
          <w:bottom w:val="none" w:color="FFFFFF" w:sz="0"/>
          <w:right w:val="none" w:color="FFFFFF" w:sz="0"/>
          <w:insideH w:val="none" w:color="FFFFFF" w:sz="0"/>
          <w:insideV w:val="none" w:color="FFFFFF" w:sz="0"/>
        </w:tblBorders>
      </w:tblPr>
      <w:tblGrid>
        <w:gridCol w:w="9640"/>
      </w:tblGrid>
      <w:tr>
        <w:trPr>
          <w:cantSplit/>
        </w:trPr>
        <w:tc>
          <w:tcPr>
            <w:tcW w:type="dxa" w:w="9640"/>
            <w:shd w:fill="312E81" w:color="auto" w:val="clear"/>
            <w:tcMar>
              <w:top w:type="dxa" w:w="160"/>
              <w:left w:type="dxa" w:w="240"/>
              <w:bottom w:type="dxa" w:w="160"/>
              <w:right w:type="dxa" w:w="240"/>
            </w:tcMar>
          </w:tcPr>
          <w:p>
            <w:pPr>
              <w:tabs>
                <w:tab w:val="right" w:pos="9160"/>
              </w:tabs>
              <w:spacing w:after="0" w:before="0" w:line="276"/>
            </w:pPr>
            <w:r>
              <w:rPr>
                <w:rFonts w:ascii="Arial" w:cs="Arial" w:eastAsia="Arial" w:hAnsi="Arial"/>
                <w:b/>
                <w:bCs/>
                <w:color w:val="FFFFFF"/>
                <w:sz w:val="22"/>
                <w:szCs w:val="22"/>
              </w:rPr>
              <w:t xml:space="preserve">Section 11</w:t>
            </w:r>
            <w:r>
              <w:rPr>
                <w:rFonts w:ascii="Arial" w:cs="Arial" w:eastAsia="Arial" w:hAnsi="Arial"/>
                <w:b/>
                <w:bCs/>
                <w:color w:val="FFFFFF"/>
                <w:sz w:val="18"/>
                <w:szCs w:val="18"/>
              </w:rPr>
              <w:t xml:space="preserve">	PART B · SECOND-YEAR UNDERGRADUATE LEVEL</w:t>
            </w:r>
          </w:p>
          <w:p>
            <w:pPr>
              <w:spacing w:after="40" w:before="40" w:line="276"/>
            </w:pPr>
            <w:r>
              <w:rPr>
                <w:rFonts w:ascii="Arial" w:cs="Arial" w:eastAsia="Arial" w:hAnsi="Arial"/>
                <w:b/>
                <w:bCs/>
                <w:color w:val="FFFFFF"/>
                <w:sz w:val="32"/>
                <w:szCs w:val="32"/>
              </w:rPr>
              <w:t xml:space="preserve">Regioselectivity, blocking groups and diazonium chemistry</w:t>
            </w:r>
          </w:p>
          <w:p>
            <w:pPr>
              <w:spacing w:after="0" w:before="0" w:line="276"/>
            </w:pPr>
            <w:r>
              <w:rPr>
                <w:rFonts w:ascii="Arial" w:cs="Arial" w:eastAsia="Arial" w:hAnsi="Arial"/>
                <w:i/>
                <w:iCs/>
                <w:color w:val="F5F3FF"/>
                <w:sz w:val="21"/>
                <w:szCs w:val="21"/>
              </w:rPr>
              <w:t xml:space="preserve">Real syntheses have two or three substituents competing, steric effects, groups that must be protected — and diazonium salts, the Swiss-army knife of aromatic synthesis.</w:t>
            </w:r>
          </w:p>
        </w:tc>
      </w:tr>
    </w:tbl>
    <w:p>
      <w:pPr>
        <w:spacing w:after="40" w:before="0" w:line="276"/>
      </w:pPr>
      <w:r>
        <w:rPr>
          <w:rFonts w:ascii="Arial" w:cs="Arial" w:eastAsia="Arial" w:hAnsi="Arial"/>
          <w:color w:val="1F2937"/>
          <w:sz w:val="22"/>
          <w:szCs w:val="22"/>
        </w:rPr>
        <w:t xml:space="preserve"> </w:t>
      </w:r>
    </w:p>
    <w:tbl>
      <w:tblPr>
        <w:tblW w:type="dxa" w:w="9640"/>
        <w:tblBorders>
          <w:top w:val="single" w:color="14B8A6" w:sz="8"/>
          <w:left w:val="single" w:color="14B8A6" w:sz="8"/>
          <w:bottom w:val="single" w:color="14B8A6" w:sz="8"/>
          <w:right w:val="single" w:color="14B8A6" w:sz="8"/>
          <w:insideH w:val="single" w:color="14B8A6" w:sz="8"/>
          <w:insideV w:val="single" w:color="14B8A6" w:sz="8"/>
        </w:tblBorders>
      </w:tblPr>
      <w:tblGrid>
        <w:gridCol w:w="9640"/>
      </w:tblGrid>
      <w:tr>
        <w:trPr>
          <w:cantSplit/>
        </w:trPr>
        <w:tc>
          <w:tcPr>
            <w:tcW w:type="dxa" w:w="9640"/>
            <w:shd w:fill="CCFBF1" w:color="auto" w:val="clear"/>
            <w:tcMar>
              <w:top w:type="dxa" w:w="100"/>
              <w:left w:type="dxa" w:w="160"/>
              <w:bottom w:type="dxa" w:w="100"/>
              <w:right w:type="dxa" w:w="160"/>
            </w:tcMar>
          </w:tcPr>
          <w:p>
            <w:pPr>
              <w:spacing w:after="40" w:before="0" w:line="276"/>
            </w:pPr>
            <w:r>
              <w:rPr>
                <w:rFonts w:ascii="Arial" w:cs="Arial" w:eastAsia="Arial" w:hAnsi="Arial"/>
                <w:b/>
                <w:bCs/>
                <w:color w:val="0F766E"/>
                <w:sz w:val="22"/>
                <w:szCs w:val="22"/>
              </w:rPr>
              <w:t xml:space="preserve">Key facts</w:t>
            </w:r>
          </w:p>
          <w:p>
            <w:pPr>
              <w:spacing w:after="20" w:before="20" w:line="276"/>
            </w:pPr>
            <w:r>
              <w:rPr>
                <w:rFonts w:ascii="Arial" w:cs="Arial" w:eastAsia="Arial" w:hAnsi="Arial"/>
                <w:color w:val="1F2937"/>
                <w:sz w:val="21"/>
                <w:szCs w:val="21"/>
              </w:rPr>
              <w:t xml:space="preserve">•  Two substituents: the stronger ACTIVATOR wins (NH₂/OH &gt; OR &gt; alkyl &gt; halogen &gt; EWG). If both direct to the same positions, sterics decide: the position between two meta groups is rarely attacked; ortho to a bulky group is disfavoured (tert-butylbenzene nitrates 16% ortho vs 58% for toluene).</w:t>
            </w:r>
          </w:p>
          <w:p>
            <w:pPr>
              <w:spacing w:after="20" w:before="20" w:line="276"/>
            </w:pPr>
            <w:r>
              <w:rPr>
                <w:rFonts w:ascii="Arial" w:cs="Arial" w:eastAsia="Arial" w:hAnsi="Arial"/>
                <w:color w:val="1F2937"/>
                <w:sz w:val="21"/>
                <w:szCs w:val="21"/>
              </w:rPr>
              <w:t xml:space="preserve">•  Protecting NH₂: phenylamine is oxidised by HNO₃ and protonated to the meta-directing –NH₃⁺. Acetylate first (ethanoic anhydride → acetanilide, –NHCOCH₃): still 2,4-directing but tamer and bulkier (mainly para); hydrolyse afterwards (aqueous acid, heat).</w:t>
            </w:r>
          </w:p>
          <w:p>
            <w:pPr>
              <w:spacing w:after="20" w:before="20" w:line="276"/>
            </w:pPr>
            <w:r>
              <w:rPr>
                <w:rFonts w:ascii="Arial" w:cs="Arial" w:eastAsia="Arial" w:hAnsi="Arial"/>
                <w:color w:val="1F2937"/>
                <w:sz w:val="21"/>
                <w:szCs w:val="21"/>
              </w:rPr>
              <w:t xml:space="preserve">•  Blocking with –SO₃H: sulfonate the para position (conc. H₂SO₄, reversible), do the chemistry ortho, then remove –SO₃H with dilute acid/steam.</w:t>
            </w:r>
          </w:p>
          <w:p>
            <w:pPr>
              <w:spacing w:after="20" w:before="20" w:line="276"/>
            </w:pPr>
            <w:r>
              <w:rPr>
                <w:rFonts w:ascii="Arial" w:cs="Arial" w:eastAsia="Arial" w:hAnsi="Arial"/>
                <w:color w:val="1F2937"/>
                <w:sz w:val="21"/>
                <w:szCs w:val="21"/>
              </w:rPr>
              <w:t xml:space="preserve">•  Diazonium salts: ArNH₂ + NaNO₂/HCl at 0–5 °C → ArN₂⁺Cl⁻ (nitrosation of the amine by NO⁺, then dehydration). Above 10 °C they lose N₂. They convert the amino group into almost anything: CuCl/CuBr/CuCN (Sandmeyer), KI (iodoarene), HBF₄ then heat (Balz–Schiemann → fluoroarene), warm water (phenol), H₃PO₂ (replaces N₂ by H — 'deamination'), and phenols/amines under mild conditions give azo dyes (the diazonium ion is the electrophile).</w:t>
            </w:r>
          </w:p>
          <w:p>
            <w:pPr>
              <w:spacing w:after="20" w:before="20" w:line="276"/>
            </w:pPr>
            <w:r>
              <w:rPr>
                <w:rFonts w:ascii="Arial" w:cs="Arial" w:eastAsia="Arial" w:hAnsi="Arial"/>
                <w:color w:val="1F2937"/>
                <w:sz w:val="21"/>
                <w:szCs w:val="21"/>
              </w:rPr>
              <w:t xml:space="preserve">•  Nitro → amino: Sn/conc. HCl or H₂/Pd or Fe/HCl. Partial reduction of a dinitro compound with Na₂S or NH₄SH reduces just one nitro group.</w:t>
            </w:r>
          </w:p>
          <w:p>
            <w:pPr>
              <w:spacing w:after="20" w:before="20" w:line="276"/>
            </w:pPr>
            <w:r>
              <w:rPr>
                <w:rFonts w:ascii="Arial" w:cs="Arial" w:eastAsia="Arial" w:hAnsi="Arial"/>
                <w:color w:val="1F2937"/>
                <w:sz w:val="21"/>
                <w:szCs w:val="21"/>
              </w:rPr>
              <w:t xml:space="preserve">•  Paracetamol: phenol → (dilute HNO₃) 4-nitrophenol, separated from the 2-isomer by steam distillation (the 2-isomer is volatile because its OH is intramolecularly hydrogen-bonded) → (H₂/Pd) 4-aminophenol → (ethanoic anhydride) paracetamol; the more nucleophilic NH₂ is acetylated selectively.</w:t>
            </w:r>
          </w:p>
        </w:tc>
      </w:tr>
    </w:tbl>
    <w:p>
      <w:pPr>
        <w:keepNext/>
        <w:spacing w:after="40" w:before="200"/>
      </w:pPr>
      <w:r>
        <w:rPr>
          <w:rFonts w:ascii="Arial" w:cs="Arial" w:eastAsia="Arial" w:hAnsi="Arial"/>
          <w:b/>
          <w:bCs/>
          <w:color w:val="312E81"/>
          <w:sz w:val="22"/>
          <w:szCs w:val="22"/>
        </w:rPr>
        <w:t xml:space="preserve">11.1  </w:t>
      </w:r>
      <w:r>
        <w:rPr>
          <w:rFonts w:ascii="Arial" w:cs="Arial" w:eastAsia="Arial" w:hAnsi="Arial"/>
          <w:color w:val="1F2937"/>
          <w:sz w:val="22"/>
          <w:szCs w:val="22"/>
        </w:rPr>
        <w:t xml:space="preserve">Devise a synthesis of 4-bromophenylamine from benzene. Explain why direct bromination of phenylamine is unsuitable.</w:t>
      </w:r>
      <w:r>
        <w:rPr>
          <w:rFonts w:ascii="Arial" w:cs="Arial" w:eastAsia="Arial" w:hAnsi="Arial"/>
          <w:b/>
          <w:bCs/>
          <w:color w:val="D97706"/>
          <w:sz w:val="20"/>
          <w:szCs w:val="20"/>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val="false"/>
        <w:pBdr>
          <w:bottom w:val="single" w:color="A1A1AA" w:sz="4" w:space="1"/>
        </w:pBdr>
        <w:spacing w:after="0" w:before="0" w:line="420"/>
      </w:pPr>
      <w:r>
        <w:rPr>
          <w:rFonts w:ascii="Arial" w:cs="Arial" w:eastAsia="Arial" w:hAnsi="Arial"/>
          <w:color w:val="1F2937"/>
          <w:sz w:val="22"/>
          <w:szCs w:val="22"/>
        </w:rPr>
        <w:t xml:space="preserve"> </w:t>
      </w:r>
    </w:p>
    <w:p>
      <w:pPr>
        <w:spacing w:after="40" w:before="0" w:line="276"/>
      </w:pPr>
      <w:r>
        <w:rPr>
          <w:rFonts w:ascii="Arial" w:cs="Arial" w:eastAsia="Arial" w:hAnsi="Arial"/>
          <w:color w:val="1F2937"/>
          <w:sz w:val="22"/>
          <w:szCs w:val="22"/>
        </w:rPr>
        <w:t xml:space="preserve"> </w:t>
      </w:r>
    </w:p>
    <w:p>
      <w:pPr>
        <w:keepNext/>
        <w:spacing w:after="40" w:before="200"/>
      </w:pPr>
      <w:r>
        <w:rPr>
          <w:rFonts w:ascii="Arial" w:cs="Arial" w:eastAsia="Arial" w:hAnsi="Arial"/>
          <w:b/>
          <w:bCs/>
          <w:color w:val="312E81"/>
          <w:sz w:val="22"/>
          <w:szCs w:val="22"/>
        </w:rPr>
        <w:t xml:space="preserve">11.2  </w:t>
      </w:r>
      <w:r>
        <w:rPr>
          <w:rFonts w:ascii="Arial" w:cs="Arial" w:eastAsia="Arial" w:hAnsi="Arial"/>
          <w:color w:val="1F2937"/>
          <w:sz w:val="22"/>
          <w:szCs w:val="22"/>
        </w:rPr>
        <w:t xml:space="preserve">1,3,5-Tribromobenzene cannot be made by direct bromination of benzene (which gives the 1,2,4-isomer). Devise a route from benzene.</w:t>
      </w:r>
      <w:r>
        <w:rPr>
          <w:rFonts w:ascii="Arial" w:cs="Arial" w:eastAsia="Arial" w:hAnsi="Arial"/>
          <w:b/>
          <w:bCs/>
          <w:color w:val="D97706"/>
          <w:sz w:val="20"/>
          <w:szCs w:val="20"/>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val="false"/>
        <w:pBdr>
          <w:bottom w:val="single" w:color="A1A1AB" w:sz="4" w:space="1"/>
        </w:pBdr>
        <w:spacing w:after="0" w:before="0" w:line="420"/>
      </w:pPr>
      <w:r>
        <w:rPr>
          <w:rFonts w:ascii="Arial" w:cs="Arial" w:eastAsia="Arial" w:hAnsi="Arial"/>
          <w:color w:val="1F2937"/>
          <w:sz w:val="22"/>
          <w:szCs w:val="22"/>
        </w:rPr>
        <w:t xml:space="preserve"> </w:t>
      </w:r>
    </w:p>
    <w:p>
      <w:pPr>
        <w:spacing w:after="40" w:before="0" w:line="276"/>
      </w:pPr>
      <w:r>
        <w:rPr>
          <w:rFonts w:ascii="Arial" w:cs="Arial" w:eastAsia="Arial" w:hAnsi="Arial"/>
          <w:color w:val="1F2937"/>
          <w:sz w:val="22"/>
          <w:szCs w:val="22"/>
        </w:rPr>
        <w:t xml:space="preserve"> </w:t>
      </w:r>
    </w:p>
    <w:p>
      <w:pPr>
        <w:keepNext/>
        <w:spacing w:after="40" w:before="200"/>
      </w:pPr>
      <w:r>
        <w:rPr>
          <w:rFonts w:ascii="Arial" w:cs="Arial" w:eastAsia="Arial" w:hAnsi="Arial"/>
          <w:b/>
          <w:bCs/>
          <w:color w:val="312E81"/>
          <w:sz w:val="22"/>
          <w:szCs w:val="22"/>
        </w:rPr>
        <w:t xml:space="preserve">11.3  </w:t>
      </w:r>
      <w:r>
        <w:rPr>
          <w:rFonts w:ascii="Arial" w:cs="Arial" w:eastAsia="Arial" w:hAnsi="Arial"/>
          <w:color w:val="1F2937"/>
          <w:sz w:val="22"/>
          <w:szCs w:val="22"/>
        </w:rPr>
        <w:t xml:space="preserve">Devise a synthesis of 3-bromophenol from benzene. (Direct bromination of phenol gives the 2- and 4-isomers.)</w:t>
      </w:r>
      <w:r>
        <w:rPr>
          <w:rFonts w:ascii="Arial" w:cs="Arial" w:eastAsia="Arial" w:hAnsi="Arial"/>
          <w:b/>
          <w:bCs/>
          <w:color w:val="D97706"/>
          <w:sz w:val="20"/>
          <w:szCs w:val="20"/>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val="false"/>
        <w:pBdr>
          <w:bottom w:val="single" w:color="A1A1AB" w:sz="4" w:space="1"/>
        </w:pBdr>
        <w:spacing w:after="0" w:before="0" w:line="420"/>
      </w:pPr>
      <w:r>
        <w:rPr>
          <w:rFonts w:ascii="Arial" w:cs="Arial" w:eastAsia="Arial" w:hAnsi="Arial"/>
          <w:color w:val="1F2937"/>
          <w:sz w:val="22"/>
          <w:szCs w:val="22"/>
        </w:rPr>
        <w:t xml:space="preserve"> </w:t>
      </w:r>
    </w:p>
    <w:p>
      <w:pPr>
        <w:spacing w:after="40" w:before="0" w:line="276"/>
      </w:pPr>
      <w:r>
        <w:rPr>
          <w:rFonts w:ascii="Arial" w:cs="Arial" w:eastAsia="Arial" w:hAnsi="Arial"/>
          <w:color w:val="1F2937"/>
          <w:sz w:val="22"/>
          <w:szCs w:val="22"/>
        </w:rPr>
        <w:t xml:space="preserve"> </w:t>
      </w:r>
    </w:p>
    <w:p>
      <w:pPr>
        <w:keepNext/>
        <w:spacing w:after="40" w:before="200"/>
      </w:pPr>
      <w:r>
        <w:rPr>
          <w:rFonts w:ascii="Arial" w:cs="Arial" w:eastAsia="Arial" w:hAnsi="Arial"/>
          <w:b/>
          <w:bCs/>
          <w:color w:val="312E81"/>
          <w:sz w:val="22"/>
          <w:szCs w:val="22"/>
        </w:rPr>
        <w:t xml:space="preserve">11.4  </w:t>
      </w:r>
      <w:r>
        <w:rPr>
          <w:rFonts w:ascii="Arial" w:cs="Arial" w:eastAsia="Arial" w:hAnsi="Arial"/>
          <w:color w:val="1F2937"/>
          <w:sz w:val="22"/>
          <w:szCs w:val="22"/>
        </w:rPr>
        <w:t xml:space="preserve">Predict the major mono-nitration product of (a) 4-methylnitrobenzene, (b) 3-methylphenol, (c) 4-tert-butyltoluene, (d) 4-methylacetanilide. Justify each.</w:t>
      </w:r>
      <w:r>
        <w:rPr>
          <w:rFonts w:ascii="Arial" w:cs="Arial" w:eastAsia="Arial" w:hAnsi="Arial"/>
          <w:b/>
          <w:bCs/>
          <w:color w:val="D97706"/>
          <w:sz w:val="20"/>
          <w:szCs w:val="20"/>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val="false"/>
        <w:pBdr>
          <w:bottom w:val="single" w:color="A1A1AB" w:sz="4" w:space="1"/>
        </w:pBdr>
        <w:spacing w:after="0" w:before="0" w:line="420"/>
      </w:pPr>
      <w:r>
        <w:rPr>
          <w:rFonts w:ascii="Arial" w:cs="Arial" w:eastAsia="Arial" w:hAnsi="Arial"/>
          <w:color w:val="1F2937"/>
          <w:sz w:val="22"/>
          <w:szCs w:val="22"/>
        </w:rPr>
        <w:t xml:space="preserve"> </w:t>
      </w:r>
    </w:p>
    <w:p>
      <w:pPr>
        <w:spacing w:after="40" w:before="0" w:line="276"/>
      </w:pPr>
      <w:r>
        <w:rPr>
          <w:rFonts w:ascii="Arial" w:cs="Arial" w:eastAsia="Arial" w:hAnsi="Arial"/>
          <w:color w:val="1F2937"/>
          <w:sz w:val="22"/>
          <w:szCs w:val="22"/>
        </w:rPr>
        <w:t xml:space="preserve"> </w:t>
      </w:r>
    </w:p>
    <w:p>
      <w:pPr>
        <w:keepNext/>
        <w:spacing w:after="40" w:before="200"/>
      </w:pPr>
      <w:r>
        <w:rPr>
          <w:rFonts w:ascii="Arial" w:cs="Arial" w:eastAsia="Arial" w:hAnsi="Arial"/>
          <w:b/>
          <w:bCs/>
          <w:color w:val="312E81"/>
          <w:sz w:val="22"/>
          <w:szCs w:val="22"/>
        </w:rPr>
        <w:t xml:space="preserve">11.5  </w:t>
      </w:r>
      <w:r>
        <w:rPr>
          <w:rFonts w:ascii="Arial" w:cs="Arial" w:eastAsia="Arial" w:hAnsi="Arial"/>
          <w:color w:val="1F2937"/>
          <w:sz w:val="22"/>
          <w:szCs w:val="22"/>
        </w:rPr>
        <w:t xml:space="preserve">Draw the mechanism for the formation of benzenediazonium chloride from phenylamine, NaNO₂ and HCl, starting from the generation of the nitrosonium ion, NO⁺.</w:t>
      </w:r>
      <w:r>
        <w:rPr>
          <w:rFonts w:ascii="Arial" w:cs="Arial" w:eastAsia="Arial" w:hAnsi="Arial"/>
          <w:b/>
          <w:bCs/>
          <w:color w:val="D97706"/>
          <w:sz w:val="20"/>
          <w:szCs w:val="20"/>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val="false"/>
        <w:pBdr>
          <w:bottom w:val="single" w:color="A1A1AA" w:sz="4" w:space="1"/>
        </w:pBdr>
        <w:spacing w:after="0" w:before="0" w:line="420"/>
      </w:pPr>
      <w:r>
        <w:rPr>
          <w:rFonts w:ascii="Arial" w:cs="Arial" w:eastAsia="Arial" w:hAnsi="Arial"/>
          <w:color w:val="1F2937"/>
          <w:sz w:val="22"/>
          <w:szCs w:val="22"/>
        </w:rPr>
        <w:t xml:space="preserve"> </w:t>
      </w:r>
    </w:p>
    <w:p>
      <w:pPr>
        <w:spacing w:after="40" w:before="0" w:line="276"/>
      </w:pPr>
      <w:r>
        <w:rPr>
          <w:rFonts w:ascii="Arial" w:cs="Arial" w:eastAsia="Arial" w:hAnsi="Arial"/>
          <w:color w:val="1F2937"/>
          <w:sz w:val="22"/>
          <w:szCs w:val="22"/>
        </w:rPr>
        <w:t xml:space="preserve"> </w:t>
      </w:r>
    </w:p>
    <w:tbl>
      <w:tblPr>
        <w:tblW w:type="dxa" w:w="9640"/>
        <w:tblBorders>
          <w:top w:val="single" w:color="CBD5E1" w:sz="8"/>
          <w:left w:val="single" w:color="CBD5E1" w:sz="8"/>
          <w:bottom w:val="single" w:color="CBD5E1" w:sz="8"/>
          <w:right w:val="single" w:color="CBD5E1" w:sz="8"/>
          <w:insideH w:val="single" w:color="CBD5E1" w:sz="8"/>
          <w:insideV w:val="single" w:color="CBD5E1" w:sz="8"/>
        </w:tblBorders>
      </w:tblPr>
      <w:tblGrid>
        <w:gridCol w:w="9640"/>
      </w:tblGrid>
      <w:tr>
        <w:trPr>
          <w:cantSplit/>
        </w:trPr>
        <w:tc>
          <w:tcPr>
            <w:tcW w:type="dxa" w:w="9640"/>
            <w:shd w:fill="F8FAFC" w:color="auto" w:val="clear"/>
            <w:tcMar>
              <w:top w:type="dxa" w:w="100"/>
              <w:left w:type="dxa" w:w="160"/>
              <w:bottom w:type="dxa" w:w="100"/>
              <w:right w:type="dxa" w:w="160"/>
            </w:tcMar>
          </w:tcPr>
          <w:p>
            <w:pPr>
              <w:spacing w:after="40" w:before="0" w:line="276"/>
            </w:pPr>
            <w:r>
              <w:rPr>
                <w:rFonts w:ascii="Arial" w:cs="Arial" w:eastAsia="Arial" w:hAnsi="Arial"/>
                <w:b/>
                <w:bCs/>
                <w:color w:val="312E81"/>
                <w:sz w:val="20"/>
                <w:szCs w:val="20"/>
              </w:rPr>
              <w:t xml:space="preserve">Reading for this section</w:t>
            </w:r>
          </w:p>
          <w:p>
            <w:pPr>
              <w:spacing w:after="20" w:before="20" w:line="276"/>
              <w:ind w:left="200" w:hanging="200"/>
            </w:pPr>
            <w:r>
              <w:rPr>
                <w:rFonts w:ascii="Arial" w:cs="Arial" w:eastAsia="Arial" w:hAnsi="Arial"/>
                <w:b/>
                <w:bCs/>
                <w:color w:val="312E81"/>
                <w:sz w:val="19"/>
                <w:szCs w:val="19"/>
              </w:rPr>
              <w:t xml:space="preserve">▸ </w:t>
            </w:r>
            <w:r>
              <w:rPr>
                <w:rFonts w:ascii="Arial" w:cs="Arial" w:eastAsia="Arial" w:hAnsi="Arial"/>
                <w:color w:val="1F2937"/>
                <w:sz w:val="19"/>
                <w:szCs w:val="19"/>
              </w:rPr>
              <w:t xml:space="preserve">Clayden ch. 21 (diazonium salts and the 'route to everything') and ch. 24 'Regioselectivity'</w:t>
            </w:r>
            <w:r>
              <w:rPr>
                <w:rFonts w:ascii="Arial" w:cs="Arial" w:eastAsia="Arial" w:hAnsi="Arial"/>
                <w:i/>
                <w:iCs/>
                <w:color w:val="4B5563"/>
                <w:sz w:val="19"/>
                <w:szCs w:val="19"/>
              </w:rPr>
              <w:t xml:space="preserve">  —  second-year regiochemistry and the diazonium toolkit</w:t>
            </w:r>
          </w:p>
          <w:p>
            <w:pPr>
              <w:spacing w:after="20" w:before="20" w:line="276"/>
              <w:ind w:left="200" w:hanging="200"/>
            </w:pPr>
            <w:r>
              <w:rPr>
                <w:rFonts w:ascii="Arial" w:cs="Arial" w:eastAsia="Arial" w:hAnsi="Arial"/>
                <w:b/>
                <w:bCs/>
                <w:color w:val="312E81"/>
                <w:sz w:val="19"/>
                <w:szCs w:val="19"/>
              </w:rPr>
              <w:t xml:space="preserve">▸ </w:t>
            </w:r>
            <w:r>
              <w:rPr>
                <w:rFonts w:ascii="Arial" w:cs="Arial" w:eastAsia="Arial" w:hAnsi="Arial"/>
                <w:color w:val="1F2937"/>
                <w:sz w:val="19"/>
                <w:szCs w:val="19"/>
              </w:rPr>
              <w:t xml:space="preserve">S. Warren &amp; P. Wyatt, Organic Synthesis: The Disconnection Approach (2nd ed., Wiley), ch. 3 'Aromatic compounds: order of events'</w:t>
            </w:r>
            <w:r>
              <w:rPr>
                <w:rFonts w:ascii="Arial" w:cs="Arial" w:eastAsia="Arial" w:hAnsi="Arial"/>
                <w:i/>
                <w:iCs/>
                <w:color w:val="4B5563"/>
                <w:sz w:val="19"/>
                <w:szCs w:val="19"/>
              </w:rPr>
              <w:t xml:space="preserve">  —  how to PLAN aromatic syntheses — retrosynthesis of exactly these problems</w:t>
            </w:r>
          </w:p>
          <w:p>
            <w:pPr>
              <w:spacing w:after="20" w:before="20" w:line="276"/>
              <w:ind w:left="200" w:hanging="200"/>
            </w:pPr>
            <w:r>
              <w:rPr>
                <w:rFonts w:ascii="Arial" w:cs="Arial" w:eastAsia="Arial" w:hAnsi="Arial"/>
                <w:b/>
                <w:bCs/>
                <w:color w:val="312E81"/>
                <w:sz w:val="19"/>
                <w:szCs w:val="19"/>
              </w:rPr>
              <w:t xml:space="preserve">▸ </w:t>
            </w:r>
            <w:r>
              <w:rPr>
                <w:rFonts w:ascii="Arial" w:cs="Arial" w:eastAsia="Arial" w:hAnsi="Arial"/>
                <w:color w:val="1F2937"/>
                <w:sz w:val="19"/>
                <w:szCs w:val="19"/>
              </w:rPr>
              <w:t xml:space="preserve">Chemguide, 'Diazonium salts'</w:t>
            </w:r>
            <w:r>
              <w:rPr>
                <w:rFonts w:ascii="Arial" w:cs="Arial" w:eastAsia="Arial" w:hAnsi="Arial"/>
                <w:i/>
                <w:iCs/>
                <w:color w:val="4B5563"/>
                <w:sz w:val="19"/>
                <w:szCs w:val="19"/>
              </w:rPr>
              <w:t xml:space="preserve">  —  the reactions, with equations</w:t>
            </w:r>
          </w:p>
        </w:tc>
      </w:tr>
    </w:tbl>
    <w:p>
      <w:pPr>
        <w:spacing w:after="40" w:before="0" w:line="276"/>
      </w:pPr>
      <w:r>
        <w:rPr>
          <w:rFonts w:ascii="Arial" w:cs="Arial" w:eastAsia="Arial" w:hAnsi="Arial"/>
          <w:color w:val="1F2937"/>
          <w:sz w:val="22"/>
          <w:szCs w:val="22"/>
        </w:rPr>
        <w:t xml:space="preserve"> </w:t>
      </w:r>
    </w:p>
    <w:p>
      <w:pPr>
        <w:pageBreakBefore/>
        <w:spacing w:after="0" w:before="0" w:line="20"/>
      </w:pPr>
      <w:r>
        <w:rPr>
          <w:sz w:val="2"/>
          <w:szCs w:val="2"/>
        </w:rPr>
        <w:t xml:space="preserve"/>
      </w:r>
    </w:p>
    <w:tbl>
      <w:tblPr>
        <w:tblW w:type="dxa" w:w="9640"/>
        <w:tblBorders>
          <w:top w:val="none" w:color="FFFFFF" w:sz="0"/>
          <w:left w:val="none" w:color="FFFFFF" w:sz="0"/>
          <w:bottom w:val="none" w:color="FFFFFF" w:sz="0"/>
          <w:right w:val="none" w:color="FFFFFF" w:sz="0"/>
          <w:insideH w:val="none" w:color="FFFFFF" w:sz="0"/>
          <w:insideV w:val="none" w:color="FFFFFF" w:sz="0"/>
        </w:tblBorders>
      </w:tblPr>
      <w:tblGrid>
        <w:gridCol w:w="9640"/>
      </w:tblGrid>
      <w:tr>
        <w:trPr>
          <w:cantSplit/>
        </w:trPr>
        <w:tc>
          <w:tcPr>
            <w:tcW w:type="dxa" w:w="9640"/>
            <w:shd w:fill="312E81" w:color="auto" w:val="clear"/>
            <w:tcMar>
              <w:top w:type="dxa" w:w="160"/>
              <w:left w:type="dxa" w:w="240"/>
              <w:bottom w:type="dxa" w:w="160"/>
              <w:right w:type="dxa" w:w="240"/>
            </w:tcMar>
          </w:tcPr>
          <w:p>
            <w:pPr>
              <w:tabs>
                <w:tab w:val="right" w:pos="9160"/>
              </w:tabs>
              <w:spacing w:after="0" w:before="0" w:line="276"/>
            </w:pPr>
            <w:r>
              <w:rPr>
                <w:rFonts w:ascii="Arial" w:cs="Arial" w:eastAsia="Arial" w:hAnsi="Arial"/>
                <w:b/>
                <w:bCs/>
                <w:color w:val="FFFFFF"/>
                <w:sz w:val="22"/>
                <w:szCs w:val="22"/>
              </w:rPr>
              <w:t xml:space="preserve">Section 12</w:t>
            </w:r>
            <w:r>
              <w:rPr>
                <w:rFonts w:ascii="Arial" w:cs="Arial" w:eastAsia="Arial" w:hAnsi="Arial"/>
                <w:b/>
                <w:bCs/>
                <w:color w:val="FFFFFF"/>
                <w:sz w:val="18"/>
                <w:szCs w:val="18"/>
              </w:rPr>
              <w:t xml:space="preserve">	PART B · SECOND-YEAR UNDERGRADUATE LEVEL</w:t>
            </w:r>
          </w:p>
          <w:p>
            <w:pPr>
              <w:spacing w:after="40" w:before="40" w:line="276"/>
            </w:pPr>
            <w:r>
              <w:rPr>
                <w:rFonts w:ascii="Arial" w:cs="Arial" w:eastAsia="Arial" w:hAnsi="Arial"/>
                <w:b/>
                <w:bCs/>
                <w:color w:val="FFFFFF"/>
                <w:sz w:val="32"/>
                <w:szCs w:val="32"/>
              </w:rPr>
              <w:t xml:space="preserve">Named reactions and rearrangements of aromatic compounds</w:t>
            </w:r>
          </w:p>
          <w:p>
            <w:pPr>
              <w:spacing w:after="0" w:before="0" w:line="276"/>
            </w:pPr>
            <w:r>
              <w:rPr>
                <w:rFonts w:ascii="Arial" w:cs="Arial" w:eastAsia="Arial" w:hAnsi="Arial"/>
                <w:i/>
                <w:iCs/>
                <w:color w:val="F5F3FF"/>
                <w:sz w:val="21"/>
                <w:szCs w:val="21"/>
              </w:rPr>
              <w:t xml:space="preserve">Formylation, acylation of phenols, the industrial route to phenol, and a pericyclic rearrangement — the reactions on every second-year mechanism sheet.</w:t>
            </w:r>
          </w:p>
        </w:tc>
      </w:tr>
    </w:tbl>
    <w:p>
      <w:pPr>
        <w:spacing w:after="40" w:before="0" w:line="276"/>
      </w:pPr>
      <w:r>
        <w:rPr>
          <w:rFonts w:ascii="Arial" w:cs="Arial" w:eastAsia="Arial" w:hAnsi="Arial"/>
          <w:color w:val="1F2937"/>
          <w:sz w:val="22"/>
          <w:szCs w:val="22"/>
        </w:rPr>
        <w:t xml:space="preserve"> </w:t>
      </w:r>
    </w:p>
    <w:tbl>
      <w:tblPr>
        <w:tblW w:type="dxa" w:w="9640"/>
        <w:tblBorders>
          <w:top w:val="single" w:color="14B8A6" w:sz="8"/>
          <w:left w:val="single" w:color="14B8A6" w:sz="8"/>
          <w:bottom w:val="single" w:color="14B8A6" w:sz="8"/>
          <w:right w:val="single" w:color="14B8A6" w:sz="8"/>
          <w:insideH w:val="single" w:color="14B8A6" w:sz="8"/>
          <w:insideV w:val="single" w:color="14B8A6" w:sz="8"/>
        </w:tblBorders>
      </w:tblPr>
      <w:tblGrid>
        <w:gridCol w:w="9640"/>
      </w:tblGrid>
      <w:tr>
        <w:trPr>
          <w:cantSplit/>
        </w:trPr>
        <w:tc>
          <w:tcPr>
            <w:tcW w:type="dxa" w:w="9640"/>
            <w:shd w:fill="CCFBF1" w:color="auto" w:val="clear"/>
            <w:tcMar>
              <w:top w:type="dxa" w:w="100"/>
              <w:left w:type="dxa" w:w="160"/>
              <w:bottom w:type="dxa" w:w="100"/>
              <w:right w:type="dxa" w:w="160"/>
            </w:tcMar>
          </w:tcPr>
          <w:p>
            <w:pPr>
              <w:spacing w:after="40" w:before="0" w:line="276"/>
            </w:pPr>
            <w:r>
              <w:rPr>
                <w:rFonts w:ascii="Arial" w:cs="Arial" w:eastAsia="Arial" w:hAnsi="Arial"/>
                <w:b/>
                <w:bCs/>
                <w:color w:val="0F766E"/>
                <w:sz w:val="22"/>
                <w:szCs w:val="22"/>
              </w:rPr>
              <w:t xml:space="preserve">Key facts</w:t>
            </w:r>
          </w:p>
          <w:p>
            <w:pPr>
              <w:spacing w:after="20" w:before="20" w:line="276"/>
            </w:pPr>
            <w:r>
              <w:rPr>
                <w:rFonts w:ascii="Arial" w:cs="Arial" w:eastAsia="Arial" w:hAnsi="Arial"/>
                <w:color w:val="1F2937"/>
                <w:sz w:val="21"/>
                <w:szCs w:val="21"/>
              </w:rPr>
              <w:t xml:space="preserve">•  Hock (cumene) process — the source of almost all the world's phenol: benzene + propene (H₃PO₄) → cumene; air oxidation (radical chain) → cumene hydroperoxide, PhC(CH₃)₂–O–OH; dilute acid → phenol + propanone. Key step: protonation of the O–OH, loss of water with a 1,2-shift of the PHENYL group from carbon to the electron-deficient oxygen (aryl migrates faster than methyl because the transition state is stabilised by the ring's π electrons), giving an oxocarbenium ion; water adds → hemiketal → collapses to phenol + acetone.</w:t>
            </w:r>
          </w:p>
          <w:p>
            <w:pPr>
              <w:spacing w:after="20" w:before="20" w:line="276"/>
            </w:pPr>
            <w:r>
              <w:rPr>
                <w:rFonts w:ascii="Arial" w:cs="Arial" w:eastAsia="Arial" w:hAnsi="Arial"/>
                <w:color w:val="1F2937"/>
                <w:sz w:val="21"/>
                <w:szCs w:val="21"/>
              </w:rPr>
              <w:t xml:space="preserve">•  Fries rearrangement: an aryl ester (phenyl ethanoate) + AlCl₃ gives hydroxyaryl ketones. Low temperature (kinetic) → mainly para; high temperature (thermodynamic) → ortho, because the ortho product forms a stable chelate with AlCl₃ (intramolecular H-bond after work-up).</w:t>
            </w:r>
          </w:p>
          <w:p>
            <w:pPr>
              <w:spacing w:after="20" w:before="20" w:line="276"/>
            </w:pPr>
            <w:r>
              <w:rPr>
                <w:rFonts w:ascii="Arial" w:cs="Arial" w:eastAsia="Arial" w:hAnsi="Arial"/>
                <w:color w:val="1F2937"/>
                <w:sz w:val="21"/>
                <w:szCs w:val="21"/>
              </w:rPr>
              <w:t xml:space="preserve">•  Vilsmeier–Haack formylation: DMF + POCl₃ → chloroiminium ion (Me₂N⁺=CHCl), a mild electrophile; attacks activated rings (phenols, anilines, pyrrole, indole) at the para/2-position; hydrolysis of the iminium product gives the aldehyde.</w:t>
            </w:r>
          </w:p>
          <w:p>
            <w:pPr>
              <w:spacing w:after="20" w:before="20" w:line="276"/>
            </w:pPr>
            <w:r>
              <w:rPr>
                <w:rFonts w:ascii="Arial" w:cs="Arial" w:eastAsia="Arial" w:hAnsi="Arial"/>
                <w:color w:val="1F2937"/>
                <w:sz w:val="21"/>
                <w:szCs w:val="21"/>
              </w:rPr>
              <w:t xml:space="preserve">•  Gattermann–Koch: CO + HCl + AlCl₃/CuCl → formyl cation HC≡O⁺ → benzaldehyde from benzene (unactivated rings, unlike Vilsmeier).</w:t>
            </w:r>
          </w:p>
          <w:p>
            <w:pPr>
              <w:spacing w:after="20" w:before="20" w:line="276"/>
            </w:pPr>
            <w:r>
              <w:rPr>
                <w:rFonts w:ascii="Arial" w:cs="Arial" w:eastAsia="Arial" w:hAnsi="Arial"/>
                <w:color w:val="1F2937"/>
                <w:sz w:val="21"/>
                <w:szCs w:val="21"/>
              </w:rPr>
              <w:t xml:space="preserve">•  Reimer–Tiemann: phenoxide + CHCl₃/NaOH → dichlorocarbene :CCl₂ (from CHCl₃ + OH⁻ → CCl₃⁻ → :CCl₂ + Cl⁻) attacks the ortho position of the phenoxide (an electrophile attacked by an electron-rich ring) → after hydrolysis 2-hydroxybenzaldehyde (salicylaldehyde).</w:t>
            </w:r>
          </w:p>
          <w:p>
            <w:pPr>
              <w:spacing w:after="20" w:before="20" w:line="276"/>
            </w:pPr>
            <w:r>
              <w:rPr>
                <w:rFonts w:ascii="Arial" w:cs="Arial" w:eastAsia="Arial" w:hAnsi="Arial"/>
                <w:color w:val="1F2937"/>
                <w:sz w:val="21"/>
                <w:szCs w:val="21"/>
              </w:rPr>
              <w:t xml:space="preserve">•  Claisen rearrangement: allyl phenyl ethers rearrange on heating (≈ 200 °C) to 2-allylphenols by a concerted [3,3]-sigmatropic shift through a six-membered cyclic transition state; no intermediates, no catalyst. The allyl group ends up attached by its OTHER end (C1 of the allyl unit bonds to the ring carbon).</w:t>
            </w:r>
          </w:p>
        </w:tc>
      </w:tr>
    </w:tbl>
    <w:p>
      <w:pPr>
        <w:keepNext/>
        <w:spacing w:after="40" w:before="200"/>
      </w:pPr>
      <w:r>
        <w:rPr>
          <w:rFonts w:ascii="Arial" w:cs="Arial" w:eastAsia="Arial" w:hAnsi="Arial"/>
          <w:b/>
          <w:bCs/>
          <w:color w:val="312E81"/>
          <w:sz w:val="22"/>
          <w:szCs w:val="22"/>
        </w:rPr>
        <w:t xml:space="preserve">12.1  </w:t>
      </w:r>
      <w:r>
        <w:rPr>
          <w:rFonts w:ascii="Arial" w:cs="Arial" w:eastAsia="Arial" w:hAnsi="Arial"/>
          <w:color w:val="1F2937"/>
          <w:sz w:val="22"/>
          <w:szCs w:val="22"/>
        </w:rPr>
        <w:t xml:space="preserve">Draw the full mechanism for the acid-catalysed conversion of cumene hydroperoxide into phenol and propanone (the Hock rearrangement). Explain why the phenyl group migrates rather than a methyl group.</w:t>
      </w:r>
      <w:r>
        <w:rPr>
          <w:rFonts w:ascii="Arial" w:cs="Arial" w:eastAsia="Arial" w:hAnsi="Arial"/>
          <w:b/>
          <w:bCs/>
          <w:color w:val="D97706"/>
          <w:sz w:val="20"/>
          <w:szCs w:val="20"/>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val="false"/>
        <w:pBdr>
          <w:bottom w:val="single" w:color="A1A1AA" w:sz="4" w:space="1"/>
        </w:pBdr>
        <w:spacing w:after="0" w:before="0" w:line="420"/>
      </w:pPr>
      <w:r>
        <w:rPr>
          <w:rFonts w:ascii="Arial" w:cs="Arial" w:eastAsia="Arial" w:hAnsi="Arial"/>
          <w:color w:val="1F2937"/>
          <w:sz w:val="22"/>
          <w:szCs w:val="22"/>
        </w:rPr>
        <w:t xml:space="preserve"> </w:t>
      </w:r>
    </w:p>
    <w:p>
      <w:pPr>
        <w:spacing w:after="40" w:before="0" w:line="276"/>
      </w:pPr>
      <w:r>
        <w:rPr>
          <w:rFonts w:ascii="Arial" w:cs="Arial" w:eastAsia="Arial" w:hAnsi="Arial"/>
          <w:color w:val="1F2937"/>
          <w:sz w:val="22"/>
          <w:szCs w:val="22"/>
        </w:rPr>
        <w:t xml:space="preserve"> </w:t>
      </w:r>
    </w:p>
    <w:p>
      <w:pPr>
        <w:keepNext/>
        <w:spacing w:after="40" w:before="200"/>
      </w:pPr>
      <w:r>
        <w:rPr>
          <w:rFonts w:ascii="Arial" w:cs="Arial" w:eastAsia="Arial" w:hAnsi="Arial"/>
          <w:b/>
          <w:bCs/>
          <w:color w:val="312E81"/>
          <w:sz w:val="22"/>
          <w:szCs w:val="22"/>
        </w:rPr>
        <w:t xml:space="preserve">12.2  </w:t>
      </w:r>
      <w:r>
        <w:rPr>
          <w:rFonts w:ascii="Arial" w:cs="Arial" w:eastAsia="Arial" w:hAnsi="Arial"/>
          <w:color w:val="1F2937"/>
          <w:sz w:val="22"/>
          <w:szCs w:val="22"/>
        </w:rPr>
        <w:t xml:space="preserve">Phenyl ethanoate is treated with AlCl₃ at (a) 25 °C and (b) 160 °C. Predict the major product in each case and explain the temperature dependence. What A-level reaction is this related to?</w:t>
      </w:r>
      <w:r>
        <w:rPr>
          <w:rFonts w:ascii="Arial" w:cs="Arial" w:eastAsia="Arial" w:hAnsi="Arial"/>
          <w:b/>
          <w:bCs/>
          <w:color w:val="D97706"/>
          <w:sz w:val="20"/>
          <w:szCs w:val="20"/>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val="false"/>
        <w:pBdr>
          <w:bottom w:val="single" w:color="A1A1AA" w:sz="4" w:space="1"/>
        </w:pBdr>
        <w:spacing w:after="0" w:before="0" w:line="420"/>
      </w:pPr>
      <w:r>
        <w:rPr>
          <w:rFonts w:ascii="Arial" w:cs="Arial" w:eastAsia="Arial" w:hAnsi="Arial"/>
          <w:color w:val="1F2937"/>
          <w:sz w:val="22"/>
          <w:szCs w:val="22"/>
        </w:rPr>
        <w:t xml:space="preserve"> </w:t>
      </w:r>
    </w:p>
    <w:p>
      <w:pPr>
        <w:spacing w:after="40" w:before="0" w:line="276"/>
      </w:pPr>
      <w:r>
        <w:rPr>
          <w:rFonts w:ascii="Arial" w:cs="Arial" w:eastAsia="Arial" w:hAnsi="Arial"/>
          <w:color w:val="1F2937"/>
          <w:sz w:val="22"/>
          <w:szCs w:val="22"/>
        </w:rPr>
        <w:t xml:space="preserve"> </w:t>
      </w:r>
    </w:p>
    <w:p>
      <w:pPr>
        <w:keepNext/>
        <w:spacing w:after="40" w:before="200"/>
      </w:pPr>
      <w:r>
        <w:rPr>
          <w:rFonts w:ascii="Arial" w:cs="Arial" w:eastAsia="Arial" w:hAnsi="Arial"/>
          <w:b/>
          <w:bCs/>
          <w:color w:val="312E81"/>
          <w:sz w:val="22"/>
          <w:szCs w:val="22"/>
        </w:rPr>
        <w:t xml:space="preserve">12.3  </w:t>
      </w:r>
      <w:r>
        <w:rPr>
          <w:rFonts w:ascii="Arial" w:cs="Arial" w:eastAsia="Arial" w:hAnsi="Arial"/>
          <w:color w:val="1F2937"/>
          <w:sz w:val="22"/>
          <w:szCs w:val="22"/>
        </w:rPr>
        <w:t xml:space="preserve">Write the mechanism for the Reimer–Tiemann formylation of phenol to 2-hydroxybenzaldehyde. Identify the electrophile and explain why the reaction is ortho-selective.</w:t>
      </w:r>
      <w:r>
        <w:rPr>
          <w:rFonts w:ascii="Arial" w:cs="Arial" w:eastAsia="Arial" w:hAnsi="Arial"/>
          <w:b/>
          <w:bCs/>
          <w:color w:val="D97706"/>
          <w:sz w:val="20"/>
          <w:szCs w:val="20"/>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val="false"/>
        <w:pBdr>
          <w:bottom w:val="single" w:color="A1A1AA" w:sz="4" w:space="1"/>
        </w:pBdr>
        <w:spacing w:after="0" w:before="0" w:line="420"/>
      </w:pPr>
      <w:r>
        <w:rPr>
          <w:rFonts w:ascii="Arial" w:cs="Arial" w:eastAsia="Arial" w:hAnsi="Arial"/>
          <w:color w:val="1F2937"/>
          <w:sz w:val="22"/>
          <w:szCs w:val="22"/>
        </w:rPr>
        <w:t xml:space="preserve"> </w:t>
      </w:r>
    </w:p>
    <w:p>
      <w:pPr>
        <w:spacing w:after="40" w:before="0" w:line="276"/>
      </w:pPr>
      <w:r>
        <w:rPr>
          <w:rFonts w:ascii="Arial" w:cs="Arial" w:eastAsia="Arial" w:hAnsi="Arial"/>
          <w:color w:val="1F2937"/>
          <w:sz w:val="22"/>
          <w:szCs w:val="22"/>
        </w:rPr>
        <w:t xml:space="preserve"> </w:t>
      </w:r>
    </w:p>
    <w:p>
      <w:pPr>
        <w:keepNext/>
        <w:spacing w:after="40" w:before="200"/>
      </w:pPr>
      <w:r>
        <w:rPr>
          <w:rFonts w:ascii="Arial" w:cs="Arial" w:eastAsia="Arial" w:hAnsi="Arial"/>
          <w:b/>
          <w:bCs/>
          <w:color w:val="312E81"/>
          <w:sz w:val="22"/>
          <w:szCs w:val="22"/>
        </w:rPr>
        <w:t xml:space="preserve">12.4  </w:t>
      </w:r>
      <w:r>
        <w:rPr>
          <w:rFonts w:ascii="Arial" w:cs="Arial" w:eastAsia="Arial" w:hAnsi="Arial"/>
          <w:color w:val="1F2937"/>
          <w:sz w:val="22"/>
          <w:szCs w:val="22"/>
        </w:rPr>
        <w:t xml:space="preserve">Allyl phenyl ether labelled with deuterium at the CH₂ next to oxygen (Ph–O–CD₂–CH=CH₂) is heated to 200 °C. Draw the product, showing where the deuterium ends up, and explain what this tells you about the mechanism.</w:t>
      </w:r>
      <w:r>
        <w:rPr>
          <w:rFonts w:ascii="Arial" w:cs="Arial" w:eastAsia="Arial" w:hAnsi="Arial"/>
          <w:b/>
          <w:bCs/>
          <w:color w:val="D97706"/>
          <w:sz w:val="20"/>
          <w:szCs w:val="20"/>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val="false"/>
        <w:pBdr>
          <w:bottom w:val="single" w:color="A1A1AB" w:sz="4" w:space="1"/>
        </w:pBdr>
        <w:spacing w:after="0" w:before="0" w:line="420"/>
      </w:pPr>
      <w:r>
        <w:rPr>
          <w:rFonts w:ascii="Arial" w:cs="Arial" w:eastAsia="Arial" w:hAnsi="Arial"/>
          <w:color w:val="1F2937"/>
          <w:sz w:val="22"/>
          <w:szCs w:val="22"/>
        </w:rPr>
        <w:t xml:space="preserve"> </w:t>
      </w:r>
    </w:p>
    <w:p>
      <w:pPr>
        <w:spacing w:after="40" w:before="0" w:line="276"/>
      </w:pPr>
      <w:r>
        <w:rPr>
          <w:rFonts w:ascii="Arial" w:cs="Arial" w:eastAsia="Arial" w:hAnsi="Arial"/>
          <w:color w:val="1F2937"/>
          <w:sz w:val="22"/>
          <w:szCs w:val="22"/>
        </w:rPr>
        <w:t xml:space="preserve"> </w:t>
      </w:r>
    </w:p>
    <w:p>
      <w:pPr>
        <w:keepNext/>
        <w:spacing w:after="40" w:before="200"/>
      </w:pPr>
      <w:r>
        <w:rPr>
          <w:rFonts w:ascii="Arial" w:cs="Arial" w:eastAsia="Arial" w:hAnsi="Arial"/>
          <w:b/>
          <w:bCs/>
          <w:color w:val="312E81"/>
          <w:sz w:val="22"/>
          <w:szCs w:val="22"/>
        </w:rPr>
        <w:t xml:space="preserve">12.5  </w:t>
      </w:r>
      <w:r>
        <w:rPr>
          <w:rFonts w:ascii="Arial" w:cs="Arial" w:eastAsia="Arial" w:hAnsi="Arial"/>
          <w:color w:val="1F2937"/>
          <w:sz w:val="22"/>
          <w:szCs w:val="22"/>
        </w:rPr>
        <w:t xml:space="preserve">Explain why the Vilsmeier–Haack reagent formylates phenol and N,N-dimethylaniline but not benzene, whereas the Gattermann–Koch reaction formylates benzene but is useless for phenol.</w:t>
      </w:r>
      <w:r>
        <w:rPr>
          <w:rFonts w:ascii="Arial" w:cs="Arial" w:eastAsia="Arial" w:hAnsi="Arial"/>
          <w:b/>
          <w:bCs/>
          <w:color w:val="D97706"/>
          <w:sz w:val="20"/>
          <w:szCs w:val="20"/>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val="false"/>
        <w:pBdr>
          <w:bottom w:val="single" w:color="A1A1AA" w:sz="4" w:space="1"/>
        </w:pBdr>
        <w:spacing w:after="0" w:before="0" w:line="420"/>
      </w:pPr>
      <w:r>
        <w:rPr>
          <w:rFonts w:ascii="Arial" w:cs="Arial" w:eastAsia="Arial" w:hAnsi="Arial"/>
          <w:color w:val="1F2937"/>
          <w:sz w:val="22"/>
          <w:szCs w:val="22"/>
        </w:rPr>
        <w:t xml:space="preserve"> </w:t>
      </w:r>
    </w:p>
    <w:p>
      <w:pPr>
        <w:spacing w:after="40" w:before="0" w:line="276"/>
      </w:pPr>
      <w:r>
        <w:rPr>
          <w:rFonts w:ascii="Arial" w:cs="Arial" w:eastAsia="Arial" w:hAnsi="Arial"/>
          <w:color w:val="1F2937"/>
          <w:sz w:val="22"/>
          <w:szCs w:val="22"/>
        </w:rPr>
        <w:t xml:space="preserve"> </w:t>
      </w:r>
    </w:p>
    <w:tbl>
      <w:tblPr>
        <w:tblW w:type="dxa" w:w="9640"/>
        <w:tblBorders>
          <w:top w:val="single" w:color="CBD5E1" w:sz="8"/>
          <w:left w:val="single" w:color="CBD5E1" w:sz="8"/>
          <w:bottom w:val="single" w:color="CBD5E1" w:sz="8"/>
          <w:right w:val="single" w:color="CBD5E1" w:sz="8"/>
          <w:insideH w:val="single" w:color="CBD5E1" w:sz="8"/>
          <w:insideV w:val="single" w:color="CBD5E1" w:sz="8"/>
        </w:tblBorders>
      </w:tblPr>
      <w:tblGrid>
        <w:gridCol w:w="9640"/>
      </w:tblGrid>
      <w:tr>
        <w:trPr>
          <w:cantSplit/>
        </w:trPr>
        <w:tc>
          <w:tcPr>
            <w:tcW w:type="dxa" w:w="9640"/>
            <w:shd w:fill="F8FAFC" w:color="auto" w:val="clear"/>
            <w:tcMar>
              <w:top w:type="dxa" w:w="100"/>
              <w:left w:type="dxa" w:w="160"/>
              <w:bottom w:type="dxa" w:w="100"/>
              <w:right w:type="dxa" w:w="160"/>
            </w:tcMar>
          </w:tcPr>
          <w:p>
            <w:pPr>
              <w:spacing w:after="40" w:before="0" w:line="276"/>
            </w:pPr>
            <w:r>
              <w:rPr>
                <w:rFonts w:ascii="Arial" w:cs="Arial" w:eastAsia="Arial" w:hAnsi="Arial"/>
                <w:b/>
                <w:bCs/>
                <w:color w:val="312E81"/>
                <w:sz w:val="20"/>
                <w:szCs w:val="20"/>
              </w:rPr>
              <w:t xml:space="preserve">Reading for this section</w:t>
            </w:r>
          </w:p>
          <w:p>
            <w:pPr>
              <w:spacing w:after="20" w:before="20" w:line="276"/>
              <w:ind w:left="200" w:hanging="200"/>
            </w:pPr>
            <w:r>
              <w:rPr>
                <w:rFonts w:ascii="Arial" w:cs="Arial" w:eastAsia="Arial" w:hAnsi="Arial"/>
                <w:b/>
                <w:bCs/>
                <w:color w:val="312E81"/>
                <w:sz w:val="19"/>
                <w:szCs w:val="19"/>
              </w:rPr>
              <w:t xml:space="preserve">▸ </w:t>
            </w:r>
            <w:r>
              <w:rPr>
                <w:rFonts w:ascii="Arial" w:cs="Arial" w:eastAsia="Arial" w:hAnsi="Arial"/>
                <w:color w:val="1F2937"/>
                <w:sz w:val="19"/>
                <w:szCs w:val="19"/>
              </w:rPr>
              <w:t xml:space="preserve">Clayden ch. 21 (Vilsmeier, Gattermann–Koch), ch. 35 'Pericyclic reactions 2: sigmatropic and electrocyclic' (Claisen), ch. 36 (Hock/Baeyer–Villiger migrations)</w:t>
            </w:r>
            <w:r>
              <w:rPr>
                <w:rFonts w:ascii="Arial" w:cs="Arial" w:eastAsia="Arial" w:hAnsi="Arial"/>
                <w:i/>
                <w:iCs/>
                <w:color w:val="4B5563"/>
                <w:sz w:val="19"/>
                <w:szCs w:val="19"/>
              </w:rPr>
              <w:t xml:space="preserve">  —  the mechanisms in full</w:t>
            </w:r>
          </w:p>
          <w:p>
            <w:pPr>
              <w:spacing w:after="20" w:before="20" w:line="276"/>
              <w:ind w:left="200" w:hanging="200"/>
            </w:pPr>
            <w:r>
              <w:rPr>
                <w:rFonts w:ascii="Arial" w:cs="Arial" w:eastAsia="Arial" w:hAnsi="Arial"/>
                <w:b/>
                <w:bCs/>
                <w:color w:val="312E81"/>
                <w:sz w:val="19"/>
                <w:szCs w:val="19"/>
              </w:rPr>
              <w:t xml:space="preserve">▸ </w:t>
            </w:r>
            <w:r>
              <w:rPr>
                <w:rFonts w:ascii="Arial" w:cs="Arial" w:eastAsia="Arial" w:hAnsi="Arial"/>
                <w:color w:val="1F2937"/>
                <w:sz w:val="19"/>
                <w:szCs w:val="19"/>
              </w:rPr>
              <w:t xml:space="preserve">J. J. Li, Name Reactions (Springer)</w:t>
            </w:r>
            <w:r>
              <w:rPr>
                <w:rFonts w:ascii="Arial" w:cs="Arial" w:eastAsia="Arial" w:hAnsi="Arial"/>
                <w:i/>
                <w:iCs/>
                <w:color w:val="4B5563"/>
                <w:sz w:val="19"/>
                <w:szCs w:val="19"/>
              </w:rPr>
              <w:t xml:space="preserve">  —  one-page mechanism cards for every named reaction here</w:t>
            </w:r>
          </w:p>
          <w:p>
            <w:pPr>
              <w:spacing w:after="20" w:before="20" w:line="276"/>
              <w:ind w:left="200" w:hanging="200"/>
            </w:pPr>
            <w:r>
              <w:rPr>
                <w:rFonts w:ascii="Arial" w:cs="Arial" w:eastAsia="Arial" w:hAnsi="Arial"/>
                <w:b/>
                <w:bCs/>
                <w:color w:val="312E81"/>
                <w:sz w:val="19"/>
                <w:szCs w:val="19"/>
              </w:rPr>
              <w:t xml:space="preserve">▸ </w:t>
            </w:r>
            <w:r>
              <w:rPr>
                <w:rFonts w:ascii="Arial" w:cs="Arial" w:eastAsia="Arial" w:hAnsi="Arial"/>
                <w:color w:val="1F2937"/>
                <w:sz w:val="19"/>
                <w:szCs w:val="19"/>
              </w:rPr>
              <w:t xml:space="preserve">Chemguide / Wikipedia 'Cumene process'</w:t>
            </w:r>
            <w:r>
              <w:rPr>
                <w:rFonts w:ascii="Arial" w:cs="Arial" w:eastAsia="Arial" w:hAnsi="Arial"/>
                <w:i/>
                <w:iCs/>
                <w:color w:val="4B5563"/>
                <w:sz w:val="19"/>
                <w:szCs w:val="19"/>
              </w:rPr>
              <w:t xml:space="preserve">  —  the industrial context — 8 million tonnes of phenol a year</w:t>
            </w:r>
          </w:p>
        </w:tc>
      </w:tr>
    </w:tbl>
    <w:p>
      <w:pPr>
        <w:spacing w:after="40" w:before="0" w:line="276"/>
      </w:pPr>
      <w:r>
        <w:rPr>
          <w:rFonts w:ascii="Arial" w:cs="Arial" w:eastAsia="Arial" w:hAnsi="Arial"/>
          <w:color w:val="1F2937"/>
          <w:sz w:val="22"/>
          <w:szCs w:val="22"/>
        </w:rPr>
        <w:t xml:space="preserve"> </w:t>
      </w:r>
    </w:p>
    <w:p>
      <w:pPr>
        <w:pageBreakBefore/>
        <w:spacing w:after="0" w:before="0" w:line="20"/>
      </w:pPr>
      <w:r>
        <w:rPr>
          <w:sz w:val="2"/>
          <w:szCs w:val="2"/>
        </w:rPr>
        <w:t xml:space="preserve"/>
      </w:r>
    </w:p>
    <w:tbl>
      <w:tblPr>
        <w:tblW w:type="dxa" w:w="9640"/>
        <w:tblBorders>
          <w:top w:val="none" w:color="FFFFFF" w:sz="0"/>
          <w:left w:val="none" w:color="FFFFFF" w:sz="0"/>
          <w:bottom w:val="none" w:color="FFFFFF" w:sz="0"/>
          <w:right w:val="none" w:color="FFFFFF" w:sz="0"/>
          <w:insideH w:val="none" w:color="FFFFFF" w:sz="0"/>
          <w:insideV w:val="none" w:color="FFFFFF" w:sz="0"/>
        </w:tblBorders>
      </w:tblPr>
      <w:tblGrid>
        <w:gridCol w:w="9640"/>
      </w:tblGrid>
      <w:tr>
        <w:trPr>
          <w:cantSplit/>
        </w:trPr>
        <w:tc>
          <w:tcPr>
            <w:tcW w:type="dxa" w:w="9640"/>
            <w:shd w:fill="312E81" w:color="auto" w:val="clear"/>
            <w:tcMar>
              <w:top w:type="dxa" w:w="160"/>
              <w:left w:type="dxa" w:w="240"/>
              <w:bottom w:type="dxa" w:w="160"/>
              <w:right w:type="dxa" w:w="240"/>
            </w:tcMar>
          </w:tcPr>
          <w:p>
            <w:pPr>
              <w:tabs>
                <w:tab w:val="right" w:pos="9160"/>
              </w:tabs>
              <w:spacing w:after="0" w:before="0" w:line="276"/>
            </w:pPr>
            <w:r>
              <w:rPr>
                <w:rFonts w:ascii="Arial" w:cs="Arial" w:eastAsia="Arial" w:hAnsi="Arial"/>
                <w:b/>
                <w:bCs/>
                <w:color w:val="FFFFFF"/>
                <w:sz w:val="22"/>
                <w:szCs w:val="22"/>
              </w:rPr>
              <w:t xml:space="preserve">Section 13</w:t>
            </w:r>
            <w:r>
              <w:rPr>
                <w:rFonts w:ascii="Arial" w:cs="Arial" w:eastAsia="Arial" w:hAnsi="Arial"/>
                <w:b/>
                <w:bCs/>
                <w:color w:val="FFFFFF"/>
                <w:sz w:val="18"/>
                <w:szCs w:val="18"/>
              </w:rPr>
              <w:t xml:space="preserve">	PART B · SECOND-YEAR UNDERGRADUATE LEVEL</w:t>
            </w:r>
          </w:p>
          <w:p>
            <w:pPr>
              <w:spacing w:after="40" w:before="40" w:line="276"/>
            </w:pPr>
            <w:r>
              <w:rPr>
                <w:rFonts w:ascii="Arial" w:cs="Arial" w:eastAsia="Arial" w:hAnsi="Arial"/>
                <w:b/>
                <w:bCs/>
                <w:color w:val="FFFFFF"/>
                <w:sz w:val="32"/>
                <w:szCs w:val="32"/>
              </w:rPr>
              <w:t xml:space="preserve">Making aromatic bonds the modern way: SNAr in depth, benzyne, cross-coupling and directed metalation</w:t>
            </w:r>
          </w:p>
          <w:p>
            <w:pPr>
              <w:spacing w:after="0" w:before="0" w:line="276"/>
            </w:pPr>
            <w:r>
              <w:rPr>
                <w:rFonts w:ascii="Arial" w:cs="Arial" w:eastAsia="Arial" w:hAnsi="Arial"/>
                <w:i/>
                <w:iCs/>
                <w:color w:val="F5F3FF"/>
                <w:sz w:val="21"/>
                <w:szCs w:val="21"/>
              </w:rPr>
              <w:t xml:space="preserve">Friedel–Crafts is what the A-level teaches; palladium catalysis and organolithium chemistry are what a medicinal chemist actually uses.</w:t>
            </w:r>
          </w:p>
        </w:tc>
      </w:tr>
    </w:tbl>
    <w:p>
      <w:pPr>
        <w:spacing w:after="40" w:before="0" w:line="276"/>
      </w:pPr>
      <w:r>
        <w:rPr>
          <w:rFonts w:ascii="Arial" w:cs="Arial" w:eastAsia="Arial" w:hAnsi="Arial"/>
          <w:color w:val="1F2937"/>
          <w:sz w:val="22"/>
          <w:szCs w:val="22"/>
        </w:rPr>
        <w:t xml:space="preserve"> </w:t>
      </w:r>
    </w:p>
    <w:tbl>
      <w:tblPr>
        <w:tblW w:type="dxa" w:w="9640"/>
        <w:tblBorders>
          <w:top w:val="single" w:color="14B8A6" w:sz="8"/>
          <w:left w:val="single" w:color="14B8A6" w:sz="8"/>
          <w:bottom w:val="single" w:color="14B8A6" w:sz="8"/>
          <w:right w:val="single" w:color="14B8A6" w:sz="8"/>
          <w:insideH w:val="single" w:color="14B8A6" w:sz="8"/>
          <w:insideV w:val="single" w:color="14B8A6" w:sz="8"/>
        </w:tblBorders>
      </w:tblPr>
      <w:tblGrid>
        <w:gridCol w:w="9640"/>
      </w:tblGrid>
      <w:tr>
        <w:trPr>
          <w:cantSplit/>
        </w:trPr>
        <w:tc>
          <w:tcPr>
            <w:tcW w:type="dxa" w:w="9640"/>
            <w:shd w:fill="CCFBF1" w:color="auto" w:val="clear"/>
            <w:tcMar>
              <w:top w:type="dxa" w:w="100"/>
              <w:left w:type="dxa" w:w="160"/>
              <w:bottom w:type="dxa" w:w="100"/>
              <w:right w:type="dxa" w:w="160"/>
            </w:tcMar>
          </w:tcPr>
          <w:p>
            <w:pPr>
              <w:spacing w:after="40" w:before="0" w:line="276"/>
            </w:pPr>
            <w:r>
              <w:rPr>
                <w:rFonts w:ascii="Arial" w:cs="Arial" w:eastAsia="Arial" w:hAnsi="Arial"/>
                <w:b/>
                <w:bCs/>
                <w:color w:val="0F766E"/>
                <w:sz w:val="22"/>
                <w:szCs w:val="22"/>
              </w:rPr>
              <w:t xml:space="preserve">Key facts</w:t>
            </w:r>
          </w:p>
          <w:p>
            <w:pPr>
              <w:spacing w:after="20" w:before="20" w:line="276"/>
            </w:pPr>
            <w:r>
              <w:rPr>
                <w:rFonts w:ascii="Arial" w:cs="Arial" w:eastAsia="Arial" w:hAnsi="Arial"/>
                <w:color w:val="1F2937"/>
                <w:sz w:val="21"/>
                <w:szCs w:val="21"/>
              </w:rPr>
              <w:t xml:space="preserve">•  SNAr leaving-group order is F &gt; Cl ≈ Br &gt; I — the REVERSE of SN2 — because the rate-determining step is the ADDITION of the nucleophile, not the loss of the leaving group: the most electronegative halogen makes the ipso carbon most electrophilic and stabilises the Meisenheimer intermediate best. 1-Fluoro-2,4-dinitrobenzene (Sanger's reagent, used to label N-terminal amino acids) reacts with amines hundreds of times faster than the chloro compound.</w:t>
            </w:r>
          </w:p>
          <w:p>
            <w:pPr>
              <w:spacing w:after="20" w:before="20" w:line="276"/>
            </w:pPr>
            <w:r>
              <w:rPr>
                <w:rFonts w:ascii="Arial" w:cs="Arial" w:eastAsia="Arial" w:hAnsi="Arial"/>
                <w:color w:val="1F2937"/>
                <w:sz w:val="21"/>
                <w:szCs w:val="21"/>
              </w:rPr>
              <w:t xml:space="preserve">•  Meisenheimer complexes can be isolated as salts (2,4,6-trinitroanisole + KOMe, 1902) and characterised by NMR: the sp³ carbon appears at ≈ 100 ppm.</w:t>
            </w:r>
          </w:p>
          <w:p>
            <w:pPr>
              <w:spacing w:after="20" w:before="20" w:line="276"/>
            </w:pPr>
            <w:r>
              <w:rPr>
                <w:rFonts w:ascii="Arial" w:cs="Arial" w:eastAsia="Arial" w:hAnsi="Arial"/>
                <w:color w:val="1F2937"/>
                <w:sz w:val="21"/>
                <w:szCs w:val="21"/>
              </w:rPr>
              <w:t xml:space="preserve">•  Benzyne regiochemistry: with a substituent, the nucleophile adds to the aryne carbon that places the resulting aryl anion CLOSER to an inductively withdrawing group. 3-Chloroanisole + NaNH₂ gives ONLY 3-methoxyphenylamine (the anion at C2, next to OMe, is stabilised). Benzynes are trapped by dienes: with furan a Diels–Alder adduct forms; with anthracene, triptycene. Mild precursors: 2-(trimethylsilyl)phenyl triflate + CsF (Kobayashi, 1983); anthranilic acid + isoamyl nitrite.</w:t>
            </w:r>
          </w:p>
          <w:p>
            <w:pPr>
              <w:spacing w:after="20" w:before="20" w:line="276"/>
            </w:pPr>
            <w:r>
              <w:rPr>
                <w:rFonts w:ascii="Arial" w:cs="Arial" w:eastAsia="Arial" w:hAnsi="Arial"/>
                <w:color w:val="1F2937"/>
                <w:sz w:val="21"/>
                <w:szCs w:val="21"/>
              </w:rPr>
              <w:t xml:space="preserve">•  Palladium cross-coupling (Suzuki–Miyaura: ArX + Ar'B(OH)₂; Buchwald–Hartwig: ArX + R₂NH; Heck; Sonogashira). The catalytic cycle: oxidative addition of Ar–X to Pd(0) → transmetalation (or amine coordination/deprotonation) → reductive elimination forming Ar–Ar' or Ar–N and regenerating Pd(0). Works on deactivated rings, tolerates most functional groups, gives single regioisomers — the reasons it replaced Friedel–Crafts for making biaryls in the pharmaceutical industry.</w:t>
            </w:r>
          </w:p>
          <w:p>
            <w:pPr>
              <w:spacing w:after="20" w:before="20" w:line="276"/>
            </w:pPr>
            <w:r>
              <w:rPr>
                <w:rFonts w:ascii="Arial" w:cs="Arial" w:eastAsia="Arial" w:hAnsi="Arial"/>
                <w:color w:val="1F2937"/>
                <w:sz w:val="21"/>
                <w:szCs w:val="21"/>
              </w:rPr>
              <w:t xml:space="preserve">•  Directed ortho-metalation (DoM, Snieckus): a 'directed metalation group' (OMe, CONEt₂, NHBoc, SO₂NR₂, oxazoline) coordinates n-BuLi (or s-BuLi/TMEDA) and delivers it to the ORTHO C–H, which is deprotonated to an aryllithium; quenching with an electrophile (CO₂, DMF, I₂, Me₃SiCl) puts the new group ortho ONLY — complementary to electrophilic substitution, which gives ortho/para mixtures.</w:t>
            </w:r>
          </w:p>
        </w:tc>
      </w:tr>
    </w:tbl>
    <w:p>
      <w:pPr>
        <w:keepNext/>
        <w:spacing w:after="40" w:before="200"/>
      </w:pPr>
      <w:r>
        <w:rPr>
          <w:rFonts w:ascii="Arial" w:cs="Arial" w:eastAsia="Arial" w:hAnsi="Arial"/>
          <w:b/>
          <w:bCs/>
          <w:color w:val="312E81"/>
          <w:sz w:val="22"/>
          <w:szCs w:val="22"/>
        </w:rPr>
        <w:t xml:space="preserve">13.1  </w:t>
      </w:r>
      <w:r>
        <w:rPr>
          <w:rFonts w:ascii="Arial" w:cs="Arial" w:eastAsia="Arial" w:hAnsi="Arial"/>
          <w:color w:val="1F2937"/>
          <w:sz w:val="22"/>
          <w:szCs w:val="22"/>
        </w:rPr>
        <w:t xml:space="preserve">Explain why 1-fluoro-2,4-dinitrobenzene undergoes SNAr with piperidine faster than the chloro analogue, even though F⁻ is a far worse leaving group than Cl⁻ in SN2 reactions. Sketch the energy profile.</w:t>
      </w:r>
      <w:r>
        <w:rPr>
          <w:rFonts w:ascii="Arial" w:cs="Arial" w:eastAsia="Arial" w:hAnsi="Arial"/>
          <w:b/>
          <w:bCs/>
          <w:color w:val="D97706"/>
          <w:sz w:val="20"/>
          <w:szCs w:val="20"/>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val="false"/>
        <w:pBdr>
          <w:bottom w:val="single" w:color="A1A1AB" w:sz="4" w:space="1"/>
        </w:pBdr>
        <w:spacing w:after="0" w:before="0" w:line="420"/>
      </w:pPr>
      <w:r>
        <w:rPr>
          <w:rFonts w:ascii="Arial" w:cs="Arial" w:eastAsia="Arial" w:hAnsi="Arial"/>
          <w:color w:val="1F2937"/>
          <w:sz w:val="22"/>
          <w:szCs w:val="22"/>
        </w:rPr>
        <w:t xml:space="preserve"> </w:t>
      </w:r>
    </w:p>
    <w:p>
      <w:pPr>
        <w:spacing w:after="40" w:before="0" w:line="276"/>
      </w:pPr>
      <w:r>
        <w:rPr>
          <w:rFonts w:ascii="Arial" w:cs="Arial" w:eastAsia="Arial" w:hAnsi="Arial"/>
          <w:color w:val="1F2937"/>
          <w:sz w:val="22"/>
          <w:szCs w:val="22"/>
        </w:rPr>
        <w:t xml:space="preserve"> </w:t>
      </w:r>
    </w:p>
    <w:p>
      <w:pPr>
        <w:keepNext/>
        <w:spacing w:after="40" w:before="200"/>
      </w:pPr>
      <w:r>
        <w:rPr>
          <w:rFonts w:ascii="Arial" w:cs="Arial" w:eastAsia="Arial" w:hAnsi="Arial"/>
          <w:b/>
          <w:bCs/>
          <w:color w:val="312E81"/>
          <w:sz w:val="22"/>
          <w:szCs w:val="22"/>
        </w:rPr>
        <w:t xml:space="preserve">13.2  </w:t>
      </w:r>
      <w:r>
        <w:rPr>
          <w:rFonts w:ascii="Arial" w:cs="Arial" w:eastAsia="Arial" w:hAnsi="Arial"/>
          <w:color w:val="1F2937"/>
          <w:sz w:val="22"/>
          <w:szCs w:val="22"/>
        </w:rPr>
        <w:t xml:space="preserve">3-Chloroanisole with NaNH₂ in liquid ammonia gives exclusively 3-methoxyphenylamine, whereas 4-chloroanisole gives a mixture of 3- and 4-methoxyphenylamine. Explain both results.</w:t>
      </w:r>
      <w:r>
        <w:rPr>
          <w:rFonts w:ascii="Arial" w:cs="Arial" w:eastAsia="Arial" w:hAnsi="Arial"/>
          <w:b/>
          <w:bCs/>
          <w:color w:val="D97706"/>
          <w:sz w:val="20"/>
          <w:szCs w:val="20"/>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val="false"/>
        <w:pBdr>
          <w:bottom w:val="single" w:color="A1A1AB" w:sz="4" w:space="1"/>
        </w:pBdr>
        <w:spacing w:after="0" w:before="0" w:line="420"/>
      </w:pPr>
      <w:r>
        <w:rPr>
          <w:rFonts w:ascii="Arial" w:cs="Arial" w:eastAsia="Arial" w:hAnsi="Arial"/>
          <w:color w:val="1F2937"/>
          <w:sz w:val="22"/>
          <w:szCs w:val="22"/>
        </w:rPr>
        <w:t xml:space="preserve"> </w:t>
      </w:r>
    </w:p>
    <w:p>
      <w:pPr>
        <w:spacing w:after="40" w:before="0" w:line="276"/>
      </w:pPr>
      <w:r>
        <w:rPr>
          <w:rFonts w:ascii="Arial" w:cs="Arial" w:eastAsia="Arial" w:hAnsi="Arial"/>
          <w:color w:val="1F2937"/>
          <w:sz w:val="22"/>
          <w:szCs w:val="22"/>
        </w:rPr>
        <w:t xml:space="preserve"> </w:t>
      </w:r>
    </w:p>
    <w:p>
      <w:pPr>
        <w:keepNext/>
        <w:spacing w:after="40" w:before="200"/>
      </w:pPr>
      <w:r>
        <w:rPr>
          <w:rFonts w:ascii="Arial" w:cs="Arial" w:eastAsia="Arial" w:hAnsi="Arial"/>
          <w:b/>
          <w:bCs/>
          <w:color w:val="312E81"/>
          <w:sz w:val="22"/>
          <w:szCs w:val="22"/>
        </w:rPr>
        <w:t xml:space="preserve">13.3  </w:t>
      </w:r>
      <w:r>
        <w:rPr>
          <w:rFonts w:ascii="Arial" w:cs="Arial" w:eastAsia="Arial" w:hAnsi="Arial"/>
          <w:color w:val="1F2937"/>
          <w:sz w:val="22"/>
          <w:szCs w:val="22"/>
        </w:rPr>
        <w:t xml:space="preserve">Propose a synthesis of 2-methoxybenzaldehyde from methoxybenzene using directed ortho-metalation, and explain why an electrophilic formylation (Vilsmeier) would not give this isomer.</w:t>
      </w:r>
      <w:r>
        <w:rPr>
          <w:rFonts w:ascii="Arial" w:cs="Arial" w:eastAsia="Arial" w:hAnsi="Arial"/>
          <w:b/>
          <w:bCs/>
          <w:color w:val="D97706"/>
          <w:sz w:val="20"/>
          <w:szCs w:val="20"/>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val="false"/>
        <w:pBdr>
          <w:bottom w:val="single" w:color="A1A1AB" w:sz="4" w:space="1"/>
        </w:pBdr>
        <w:spacing w:after="0" w:before="0" w:line="420"/>
      </w:pPr>
      <w:r>
        <w:rPr>
          <w:rFonts w:ascii="Arial" w:cs="Arial" w:eastAsia="Arial" w:hAnsi="Arial"/>
          <w:color w:val="1F2937"/>
          <w:sz w:val="22"/>
          <w:szCs w:val="22"/>
        </w:rPr>
        <w:t xml:space="preserve"> </w:t>
      </w:r>
    </w:p>
    <w:p>
      <w:pPr>
        <w:spacing w:after="40" w:before="0" w:line="276"/>
      </w:pPr>
      <w:r>
        <w:rPr>
          <w:rFonts w:ascii="Arial" w:cs="Arial" w:eastAsia="Arial" w:hAnsi="Arial"/>
          <w:color w:val="1F2937"/>
          <w:sz w:val="22"/>
          <w:szCs w:val="22"/>
        </w:rPr>
        <w:t xml:space="preserve"> </w:t>
      </w:r>
    </w:p>
    <w:p>
      <w:pPr>
        <w:keepNext/>
        <w:spacing w:after="40" w:before="200"/>
      </w:pPr>
      <w:r>
        <w:rPr>
          <w:rFonts w:ascii="Arial" w:cs="Arial" w:eastAsia="Arial" w:hAnsi="Arial"/>
          <w:b/>
          <w:bCs/>
          <w:color w:val="312E81"/>
          <w:sz w:val="22"/>
          <w:szCs w:val="22"/>
        </w:rPr>
        <w:t xml:space="preserve">13.4  </w:t>
      </w:r>
      <w:r>
        <w:rPr>
          <w:rFonts w:ascii="Arial" w:cs="Arial" w:eastAsia="Arial" w:hAnsi="Arial"/>
          <w:color w:val="1F2937"/>
          <w:sz w:val="22"/>
          <w:szCs w:val="22"/>
        </w:rPr>
        <w:t xml:space="preserve">Draw the catalytic cycle for the Suzuki–Miyaura coupling of 4-bromoacetophenone with phenylboronic acid (Pd(PPh₃)₄, K₂CO₃), naming each step. Then explain why this reaction — rather than Friedel–Crafts — is used to make biaryls in drug synthesis.</w:t>
      </w:r>
      <w:r>
        <w:rPr>
          <w:rFonts w:ascii="Arial" w:cs="Arial" w:eastAsia="Arial" w:hAnsi="Arial"/>
          <w:b/>
          <w:bCs/>
          <w:color w:val="D97706"/>
          <w:sz w:val="20"/>
          <w:szCs w:val="20"/>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val="false"/>
        <w:pBdr>
          <w:bottom w:val="single" w:color="A1A1AB" w:sz="4" w:space="1"/>
        </w:pBdr>
        <w:spacing w:after="0" w:before="0" w:line="420"/>
      </w:pPr>
      <w:r>
        <w:rPr>
          <w:rFonts w:ascii="Arial" w:cs="Arial" w:eastAsia="Arial" w:hAnsi="Arial"/>
          <w:color w:val="1F2937"/>
          <w:sz w:val="22"/>
          <w:szCs w:val="22"/>
        </w:rPr>
        <w:t xml:space="preserve"> </w:t>
      </w:r>
    </w:p>
    <w:p>
      <w:pPr>
        <w:spacing w:after="40" w:before="0" w:line="276"/>
      </w:pPr>
      <w:r>
        <w:rPr>
          <w:rFonts w:ascii="Arial" w:cs="Arial" w:eastAsia="Arial" w:hAnsi="Arial"/>
          <w:color w:val="1F2937"/>
          <w:sz w:val="22"/>
          <w:szCs w:val="22"/>
        </w:rPr>
        <w:t xml:space="preserve"> </w:t>
      </w:r>
    </w:p>
    <w:p>
      <w:pPr>
        <w:keepNext/>
        <w:spacing w:after="40" w:before="200"/>
      </w:pPr>
      <w:r>
        <w:rPr>
          <w:rFonts w:ascii="Arial" w:cs="Arial" w:eastAsia="Arial" w:hAnsi="Arial"/>
          <w:b/>
          <w:bCs/>
          <w:color w:val="312E81"/>
          <w:sz w:val="22"/>
          <w:szCs w:val="22"/>
        </w:rPr>
        <w:t xml:space="preserve">13.5  </w:t>
      </w:r>
      <w:r>
        <w:rPr>
          <w:rFonts w:ascii="Arial" w:cs="Arial" w:eastAsia="Arial" w:hAnsi="Arial"/>
          <w:color w:val="1F2937"/>
          <w:sz w:val="22"/>
          <w:szCs w:val="22"/>
        </w:rPr>
        <w:t xml:space="preserve">Benzyne generated from 2-(trimethylsilyl)phenyl triflate and CsF reacts with anthracene to give triptycene. Draw the reaction, classify it, and explain why it is fast even though the diene is aromatic.</w:t>
      </w:r>
      <w:r>
        <w:rPr>
          <w:rFonts w:ascii="Arial" w:cs="Arial" w:eastAsia="Arial" w:hAnsi="Arial"/>
          <w:b/>
          <w:bCs/>
          <w:color w:val="D97706"/>
          <w:sz w:val="20"/>
          <w:szCs w:val="20"/>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val="false"/>
        <w:pBdr>
          <w:bottom w:val="single" w:color="A1A1AB" w:sz="4" w:space="1"/>
        </w:pBdr>
        <w:spacing w:after="0" w:before="0" w:line="420"/>
      </w:pPr>
      <w:r>
        <w:rPr>
          <w:rFonts w:ascii="Arial" w:cs="Arial" w:eastAsia="Arial" w:hAnsi="Arial"/>
          <w:color w:val="1F2937"/>
          <w:sz w:val="22"/>
          <w:szCs w:val="22"/>
        </w:rPr>
        <w:t xml:space="preserve"> </w:t>
      </w:r>
    </w:p>
    <w:p>
      <w:pPr>
        <w:spacing w:after="40" w:before="0" w:line="276"/>
      </w:pPr>
      <w:r>
        <w:rPr>
          <w:rFonts w:ascii="Arial" w:cs="Arial" w:eastAsia="Arial" w:hAnsi="Arial"/>
          <w:color w:val="1F2937"/>
          <w:sz w:val="22"/>
          <w:szCs w:val="22"/>
        </w:rPr>
        <w:t xml:space="preserve"> </w:t>
      </w:r>
    </w:p>
    <w:tbl>
      <w:tblPr>
        <w:tblW w:type="dxa" w:w="9640"/>
        <w:tblBorders>
          <w:top w:val="single" w:color="CBD5E1" w:sz="8"/>
          <w:left w:val="single" w:color="CBD5E1" w:sz="8"/>
          <w:bottom w:val="single" w:color="CBD5E1" w:sz="8"/>
          <w:right w:val="single" w:color="CBD5E1" w:sz="8"/>
          <w:insideH w:val="single" w:color="CBD5E1" w:sz="8"/>
          <w:insideV w:val="single" w:color="CBD5E1" w:sz="8"/>
        </w:tblBorders>
      </w:tblPr>
      <w:tblGrid>
        <w:gridCol w:w="9640"/>
      </w:tblGrid>
      <w:tr>
        <w:trPr>
          <w:cantSplit/>
        </w:trPr>
        <w:tc>
          <w:tcPr>
            <w:tcW w:type="dxa" w:w="9640"/>
            <w:shd w:fill="F8FAFC" w:color="auto" w:val="clear"/>
            <w:tcMar>
              <w:top w:type="dxa" w:w="100"/>
              <w:left w:type="dxa" w:w="160"/>
              <w:bottom w:type="dxa" w:w="100"/>
              <w:right w:type="dxa" w:w="160"/>
            </w:tcMar>
          </w:tcPr>
          <w:p>
            <w:pPr>
              <w:spacing w:after="40" w:before="0" w:line="276"/>
            </w:pPr>
            <w:r>
              <w:rPr>
                <w:rFonts w:ascii="Arial" w:cs="Arial" w:eastAsia="Arial" w:hAnsi="Arial"/>
                <w:b/>
                <w:bCs/>
                <w:color w:val="312E81"/>
                <w:sz w:val="20"/>
                <w:szCs w:val="20"/>
              </w:rPr>
              <w:t xml:space="preserve">Reading for this section</w:t>
            </w:r>
          </w:p>
          <w:p>
            <w:pPr>
              <w:spacing w:after="20" w:before="20" w:line="276"/>
              <w:ind w:left="200" w:hanging="200"/>
            </w:pPr>
            <w:r>
              <w:rPr>
                <w:rFonts w:ascii="Arial" w:cs="Arial" w:eastAsia="Arial" w:hAnsi="Arial"/>
                <w:b/>
                <w:bCs/>
                <w:color w:val="312E81"/>
                <w:sz w:val="19"/>
                <w:szCs w:val="19"/>
              </w:rPr>
              <w:t xml:space="preserve">▸ </w:t>
            </w:r>
            <w:r>
              <w:rPr>
                <w:rFonts w:ascii="Arial" w:cs="Arial" w:eastAsia="Arial" w:hAnsi="Arial"/>
                <w:color w:val="1F2937"/>
                <w:sz w:val="19"/>
                <w:szCs w:val="19"/>
              </w:rPr>
              <w:t xml:space="preserve">Clayden ch. 22 (SNAr and benzyne), ch. 40 'Organometallic chemistry' (cross-coupling)</w:t>
            </w:r>
            <w:r>
              <w:rPr>
                <w:rFonts w:ascii="Arial" w:cs="Arial" w:eastAsia="Arial" w:hAnsi="Arial"/>
                <w:i/>
                <w:iCs/>
                <w:color w:val="4B5563"/>
                <w:sz w:val="19"/>
                <w:szCs w:val="19"/>
              </w:rPr>
              <w:t xml:space="preserve">  —  the mechanisms with the evidence</w:t>
            </w:r>
          </w:p>
          <w:p>
            <w:pPr>
              <w:spacing w:after="20" w:before="20" w:line="276"/>
              <w:ind w:left="200" w:hanging="200"/>
            </w:pPr>
            <w:r>
              <w:rPr>
                <w:rFonts w:ascii="Arial" w:cs="Arial" w:eastAsia="Arial" w:hAnsi="Arial"/>
                <w:b/>
                <w:bCs/>
                <w:color w:val="312E81"/>
                <w:sz w:val="19"/>
                <w:szCs w:val="19"/>
              </w:rPr>
              <w:t xml:space="preserve">▸ </w:t>
            </w:r>
            <w:r>
              <w:rPr>
                <w:rFonts w:ascii="Arial" w:cs="Arial" w:eastAsia="Arial" w:hAnsi="Arial"/>
                <w:color w:val="1F2937"/>
                <w:sz w:val="19"/>
                <w:szCs w:val="19"/>
              </w:rPr>
              <w:t xml:space="preserve">V. Snieckus, Chem. Rev. 1990, 90, 879</w:t>
            </w:r>
            <w:r>
              <w:rPr>
                <w:rFonts w:ascii="Arial" w:cs="Arial" w:eastAsia="Arial" w:hAnsi="Arial"/>
                <w:i/>
                <w:iCs/>
                <w:color w:val="4B5563"/>
                <w:sz w:val="19"/>
                <w:szCs w:val="19"/>
              </w:rPr>
              <w:t xml:space="preserve">  —  directed ortho-metalation — the review that defined the field</w:t>
            </w:r>
          </w:p>
          <w:p>
            <w:pPr>
              <w:spacing w:after="20" w:before="20" w:line="276"/>
              <w:ind w:left="200" w:hanging="200"/>
            </w:pPr>
            <w:r>
              <w:rPr>
                <w:rFonts w:ascii="Arial" w:cs="Arial" w:eastAsia="Arial" w:hAnsi="Arial"/>
                <w:b/>
                <w:bCs/>
                <w:color w:val="312E81"/>
                <w:sz w:val="19"/>
                <w:szCs w:val="19"/>
              </w:rPr>
              <w:t xml:space="preserve">▸ </w:t>
            </w:r>
            <w:r>
              <w:rPr>
                <w:rFonts w:ascii="Arial" w:cs="Arial" w:eastAsia="Arial" w:hAnsi="Arial"/>
                <w:color w:val="1F2937"/>
                <w:sz w:val="19"/>
                <w:szCs w:val="19"/>
              </w:rPr>
              <w:t xml:space="preserve">N. Miyaura &amp; A. Suzuki, Chem. Rev. 1995, 95, 2457</w:t>
            </w:r>
            <w:r>
              <w:rPr>
                <w:rFonts w:ascii="Arial" w:cs="Arial" w:eastAsia="Arial" w:hAnsi="Arial"/>
                <w:i/>
                <w:iCs/>
                <w:color w:val="4B5563"/>
                <w:sz w:val="19"/>
                <w:szCs w:val="19"/>
              </w:rPr>
              <w:t xml:space="preserve">  —  the Suzuki coupling (Nobel Prize 2010)</w:t>
            </w:r>
          </w:p>
          <w:p>
            <w:pPr>
              <w:spacing w:after="20" w:before="20" w:line="276"/>
              <w:ind w:left="200" w:hanging="200"/>
            </w:pPr>
            <w:r>
              <w:rPr>
                <w:rFonts w:ascii="Arial" w:cs="Arial" w:eastAsia="Arial" w:hAnsi="Arial"/>
                <w:b/>
                <w:bCs/>
                <w:color w:val="312E81"/>
                <w:sz w:val="19"/>
                <w:szCs w:val="19"/>
              </w:rPr>
              <w:t xml:space="preserve">▸ </w:t>
            </w:r>
            <w:r>
              <w:rPr>
                <w:rFonts w:ascii="Arial" w:cs="Arial" w:eastAsia="Arial" w:hAnsi="Arial"/>
                <w:color w:val="1F2937"/>
                <w:sz w:val="19"/>
                <w:szCs w:val="19"/>
              </w:rPr>
              <w:t xml:space="preserve">Nobel Prize in Chemistry 2010 — popular science background (nobelprize.org)</w:t>
            </w:r>
            <w:r>
              <w:rPr>
                <w:rFonts w:ascii="Arial" w:cs="Arial" w:eastAsia="Arial" w:hAnsi="Arial"/>
                <w:i/>
                <w:iCs/>
                <w:color w:val="4B5563"/>
                <w:sz w:val="19"/>
                <w:szCs w:val="19"/>
              </w:rPr>
              <w:t xml:space="preserve">  —  a readable account of why palladium changed synthesis</w:t>
            </w:r>
          </w:p>
        </w:tc>
      </w:tr>
    </w:tbl>
    <w:p>
      <w:pPr>
        <w:spacing w:after="40" w:before="0" w:line="276"/>
      </w:pPr>
      <w:r>
        <w:rPr>
          <w:rFonts w:ascii="Arial" w:cs="Arial" w:eastAsia="Arial" w:hAnsi="Arial"/>
          <w:color w:val="1F2937"/>
          <w:sz w:val="22"/>
          <w:szCs w:val="22"/>
        </w:rPr>
        <w:t xml:space="preserve"> </w:t>
      </w:r>
    </w:p>
    <w:p>
      <w:pPr>
        <w:pageBreakBefore/>
        <w:spacing w:after="0" w:before="0" w:line="20"/>
      </w:pPr>
      <w:r>
        <w:rPr>
          <w:sz w:val="2"/>
          <w:szCs w:val="2"/>
        </w:rPr>
        <w:t xml:space="preserve"/>
      </w:r>
    </w:p>
    <w:tbl>
      <w:tblPr>
        <w:tblW w:type="dxa" w:w="9640"/>
        <w:tblBorders>
          <w:top w:val="none" w:color="FFFFFF" w:sz="0"/>
          <w:left w:val="none" w:color="FFFFFF" w:sz="0"/>
          <w:bottom w:val="none" w:color="FFFFFF" w:sz="0"/>
          <w:right w:val="none" w:color="FFFFFF" w:sz="0"/>
          <w:insideH w:val="none" w:color="FFFFFF" w:sz="0"/>
          <w:insideV w:val="none" w:color="FFFFFF" w:sz="0"/>
        </w:tblBorders>
      </w:tblPr>
      <w:tblGrid>
        <w:gridCol w:w="9640"/>
      </w:tblGrid>
      <w:tr>
        <w:trPr>
          <w:cantSplit/>
        </w:trPr>
        <w:tc>
          <w:tcPr>
            <w:tcW w:type="dxa" w:w="9640"/>
            <w:shd w:fill="312E81" w:color="auto" w:val="clear"/>
            <w:tcMar>
              <w:top w:type="dxa" w:w="160"/>
              <w:left w:type="dxa" w:w="240"/>
              <w:bottom w:type="dxa" w:w="160"/>
              <w:right w:type="dxa" w:w="240"/>
            </w:tcMar>
          </w:tcPr>
          <w:p>
            <w:pPr>
              <w:tabs>
                <w:tab w:val="right" w:pos="9160"/>
              </w:tabs>
              <w:spacing w:after="0" w:before="0" w:line="276"/>
            </w:pPr>
            <w:r>
              <w:rPr>
                <w:rFonts w:ascii="Arial" w:cs="Arial" w:eastAsia="Arial" w:hAnsi="Arial"/>
                <w:b/>
                <w:bCs/>
                <w:color w:val="FFFFFF"/>
                <w:sz w:val="22"/>
                <w:szCs w:val="22"/>
              </w:rPr>
              <w:t xml:space="preserve">Section 14</w:t>
            </w:r>
            <w:r>
              <w:rPr>
                <w:rFonts w:ascii="Arial" w:cs="Arial" w:eastAsia="Arial" w:hAnsi="Arial"/>
                <w:b/>
                <w:bCs/>
                <w:color w:val="FFFFFF"/>
                <w:sz w:val="18"/>
                <w:szCs w:val="18"/>
              </w:rPr>
              <w:t xml:space="preserve">	PART B · SECOND-YEAR UNDERGRADUATE LEVEL</w:t>
            </w:r>
          </w:p>
          <w:p>
            <w:pPr>
              <w:spacing w:after="40" w:before="40" w:line="276"/>
            </w:pPr>
            <w:r>
              <w:rPr>
                <w:rFonts w:ascii="Arial" w:cs="Arial" w:eastAsia="Arial" w:hAnsi="Arial"/>
                <w:b/>
                <w:bCs/>
                <w:color w:val="FFFFFF"/>
                <w:sz w:val="32"/>
                <w:szCs w:val="32"/>
              </w:rPr>
              <w:t xml:space="preserve">Aromatic heterocycles</w:t>
            </w:r>
          </w:p>
          <w:p>
            <w:pPr>
              <w:spacing w:after="0" w:before="0" w:line="276"/>
            </w:pPr>
            <w:r>
              <w:rPr>
                <w:rFonts w:ascii="Arial" w:cs="Arial" w:eastAsia="Arial" w:hAnsi="Arial"/>
                <w:i/>
                <w:iCs/>
                <w:color w:val="F5F3FF"/>
                <w:sz w:val="21"/>
                <w:szCs w:val="21"/>
              </w:rPr>
              <w:t xml:space="preserve">Half of all drugs contain an aromatic heterocycle. Their chemistry is benzene's chemistry with the electron count and the electronegativity of the heteroatom dialled in.</w:t>
            </w:r>
          </w:p>
        </w:tc>
      </w:tr>
    </w:tbl>
    <w:p>
      <w:pPr>
        <w:spacing w:after="40" w:before="0" w:line="276"/>
      </w:pPr>
      <w:r>
        <w:rPr>
          <w:rFonts w:ascii="Arial" w:cs="Arial" w:eastAsia="Arial" w:hAnsi="Arial"/>
          <w:color w:val="1F2937"/>
          <w:sz w:val="22"/>
          <w:szCs w:val="22"/>
        </w:rPr>
        <w:t xml:space="preserve"> </w:t>
      </w:r>
    </w:p>
    <w:tbl>
      <w:tblPr>
        <w:tblW w:type="dxa" w:w="9640"/>
        <w:tblBorders>
          <w:top w:val="single" w:color="14B8A6" w:sz="8"/>
          <w:left w:val="single" w:color="14B8A6" w:sz="8"/>
          <w:bottom w:val="single" w:color="14B8A6" w:sz="8"/>
          <w:right w:val="single" w:color="14B8A6" w:sz="8"/>
          <w:insideH w:val="single" w:color="14B8A6" w:sz="8"/>
          <w:insideV w:val="single" w:color="14B8A6" w:sz="8"/>
        </w:tblBorders>
      </w:tblPr>
      <w:tblGrid>
        <w:gridCol w:w="9640"/>
      </w:tblGrid>
      <w:tr>
        <w:trPr>
          <w:cantSplit/>
        </w:trPr>
        <w:tc>
          <w:tcPr>
            <w:tcW w:type="dxa" w:w="9640"/>
            <w:shd w:fill="CCFBF1" w:color="auto" w:val="clear"/>
            <w:tcMar>
              <w:top w:type="dxa" w:w="100"/>
              <w:left w:type="dxa" w:w="160"/>
              <w:bottom w:type="dxa" w:w="100"/>
              <w:right w:type="dxa" w:w="160"/>
            </w:tcMar>
          </w:tcPr>
          <w:p>
            <w:pPr>
              <w:spacing w:after="40" w:before="0" w:line="276"/>
            </w:pPr>
            <w:r>
              <w:rPr>
                <w:rFonts w:ascii="Arial" w:cs="Arial" w:eastAsia="Arial" w:hAnsi="Arial"/>
                <w:b/>
                <w:bCs/>
                <w:color w:val="0F766E"/>
                <w:sz w:val="22"/>
                <w:szCs w:val="22"/>
              </w:rPr>
              <w:t xml:space="preserve">Key facts</w:t>
            </w:r>
          </w:p>
          <w:p>
            <w:pPr>
              <w:spacing w:after="20" w:before="20" w:line="276"/>
            </w:pPr>
            <w:r>
              <w:rPr>
                <w:rFonts w:ascii="Arial" w:cs="Arial" w:eastAsia="Arial" w:hAnsi="Arial"/>
                <w:color w:val="1F2937"/>
                <w:sz w:val="21"/>
                <w:szCs w:val="21"/>
              </w:rPr>
              <w:t xml:space="preserve">•  Pyridine: the N lone pair is in an sp² orbital in the plane — NOT part of the 6 π electrons — so pyridine is a base (pKₐH 5.2) and the ring is electron-POOR (N is more electronegative than C). Electrophilic substitution is very hard (nitration: KNO₃/H₂SO₄ at 300 °C, 6% yield, at C3) because under the acidic conditions the N is protonated, making a pyridinium ion. Attack at C2/C4 would put positive charge on N⁺ — hence C3. Nucleophiles attack C2/C4 (Chichibabin: NaNH₂, 100 °C → 2-aminopyridine, via addition then loss of hydride).</w:t>
            </w:r>
          </w:p>
          <w:p>
            <w:pPr>
              <w:spacing w:after="20" w:before="20" w:line="276"/>
            </w:pPr>
            <w:r>
              <w:rPr>
                <w:rFonts w:ascii="Arial" w:cs="Arial" w:eastAsia="Arial" w:hAnsi="Arial"/>
                <w:color w:val="1F2937"/>
                <w:sz w:val="21"/>
                <w:szCs w:val="21"/>
              </w:rPr>
              <w:t xml:space="preserve">•  Pyridine N-oxide (pyridine + H₂O₂/ethanoic acid): the N–O⁻ oxygen is a +M donor to C2/C4, so nitration (HNO₃/H₂SO₄, 90 °C) goes at C4; PCl₃ then removes the oxygen. This is the standard route to 4-substituted pyridines.</w:t>
            </w:r>
          </w:p>
          <w:p>
            <w:pPr>
              <w:spacing w:after="20" w:before="20" w:line="276"/>
            </w:pPr>
            <w:r>
              <w:rPr>
                <w:rFonts w:ascii="Arial" w:cs="Arial" w:eastAsia="Arial" w:hAnsi="Arial"/>
                <w:color w:val="1F2937"/>
                <w:sz w:val="21"/>
                <w:szCs w:val="21"/>
              </w:rPr>
              <w:t xml:space="preserve">•  Pyrrole: the N lone pair IS part of the 6 π electrons (4 from C=C + 2 from N), so pyrrole is essentially non-basic (pKₐH −4) and electron-RICH: electrophilic substitution is enormously faster than for benzene — comparable to phenylamine (bromine water instantly gives tetrabromopyrrole; mild Vilsmeier gives pyrrole-2-carbaldehyde). Attack at C2 because the intermediate has THREE resonance forms (charge on C3, C5 and N) vs TWO for C3 attack. Strong acids polymerise it.</w:t>
            </w:r>
          </w:p>
          <w:p>
            <w:pPr>
              <w:spacing w:after="20" w:before="20" w:line="276"/>
            </w:pPr>
            <w:r>
              <w:rPr>
                <w:rFonts w:ascii="Arial" w:cs="Arial" w:eastAsia="Arial" w:hAnsi="Arial"/>
                <w:color w:val="1F2937"/>
                <w:sz w:val="21"/>
                <w:szCs w:val="21"/>
              </w:rPr>
              <w:t xml:space="preserve">•  Furan and thiophene: like pyrrole, EAS at C2. Resonance energies (kJ mol⁻¹): benzene 152, thiophene ≈ 120, pyrrole ≈ 90, furan ≈ 67. Furan, the least aromatic, is a good Diels–Alder diene; thiophene is the most benzene-like and survives acid.</w:t>
            </w:r>
          </w:p>
          <w:p>
            <w:pPr>
              <w:spacing w:after="20" w:before="20" w:line="276"/>
            </w:pPr>
            <w:r>
              <w:rPr>
                <w:rFonts w:ascii="Arial" w:cs="Arial" w:eastAsia="Arial" w:hAnsi="Arial"/>
                <w:color w:val="1F2937"/>
                <w:sz w:val="21"/>
                <w:szCs w:val="21"/>
              </w:rPr>
              <w:t xml:space="preserve">•  Indole (benzene fused to pyrrole): electrophiles attack C3 (not C2) because the C3 intermediate keeps the benzene ring's sextet intact and is stabilised as an iminium ion by N; C2 attack would disrupt the benzene ring. Quinoline (benzene fused to pyridine): electrophiles attack the carbocyclic ring (C5/C8); nucleophiles attack C2/C4 of the pyridine ring.</w:t>
            </w:r>
          </w:p>
        </w:tc>
      </w:tr>
    </w:tbl>
    <w:p>
      <w:pPr>
        <w:keepNext/>
        <w:spacing w:after="40" w:before="200"/>
      </w:pPr>
      <w:r>
        <w:rPr>
          <w:rFonts w:ascii="Arial" w:cs="Arial" w:eastAsia="Arial" w:hAnsi="Arial"/>
          <w:b/>
          <w:bCs/>
          <w:color w:val="312E81"/>
          <w:sz w:val="22"/>
          <w:szCs w:val="22"/>
        </w:rPr>
        <w:t xml:space="preserve">14.1  </w:t>
      </w:r>
      <w:r>
        <w:rPr>
          <w:rFonts w:ascii="Arial" w:cs="Arial" w:eastAsia="Arial" w:hAnsi="Arial"/>
          <w:color w:val="1F2937"/>
          <w:sz w:val="22"/>
          <w:szCs w:val="22"/>
        </w:rPr>
        <w:t xml:space="preserve">Draw the resonance forms of the intermediate for electrophilic attack on pyrrole at C2 and at C3. Hence explain the observed 2-selectivity, and predict the product of pyrrole with Vilsmeier reagent.</w:t>
      </w:r>
      <w:r>
        <w:rPr>
          <w:rFonts w:ascii="Arial" w:cs="Arial" w:eastAsia="Arial" w:hAnsi="Arial"/>
          <w:b/>
          <w:bCs/>
          <w:color w:val="D97706"/>
          <w:sz w:val="20"/>
          <w:szCs w:val="20"/>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val="false"/>
        <w:pBdr>
          <w:bottom w:val="single" w:color="A1A1AB" w:sz="4" w:space="1"/>
        </w:pBdr>
        <w:spacing w:after="0" w:before="0" w:line="420"/>
      </w:pPr>
      <w:r>
        <w:rPr>
          <w:rFonts w:ascii="Arial" w:cs="Arial" w:eastAsia="Arial" w:hAnsi="Arial"/>
          <w:color w:val="1F2937"/>
          <w:sz w:val="22"/>
          <w:szCs w:val="22"/>
        </w:rPr>
        <w:t xml:space="preserve"> </w:t>
      </w:r>
    </w:p>
    <w:p>
      <w:pPr>
        <w:spacing w:after="40" w:before="0" w:line="276"/>
      </w:pPr>
      <w:r>
        <w:rPr>
          <w:rFonts w:ascii="Arial" w:cs="Arial" w:eastAsia="Arial" w:hAnsi="Arial"/>
          <w:color w:val="1F2937"/>
          <w:sz w:val="22"/>
          <w:szCs w:val="22"/>
        </w:rPr>
        <w:t xml:space="preserve"> </w:t>
      </w:r>
    </w:p>
    <w:p>
      <w:pPr>
        <w:keepNext/>
        <w:spacing w:after="40" w:before="200"/>
      </w:pPr>
      <w:r>
        <w:rPr>
          <w:rFonts w:ascii="Arial" w:cs="Arial" w:eastAsia="Arial" w:hAnsi="Arial"/>
          <w:b/>
          <w:bCs/>
          <w:color w:val="312E81"/>
          <w:sz w:val="22"/>
          <w:szCs w:val="22"/>
        </w:rPr>
        <w:t xml:space="preserve">14.2  </w:t>
      </w:r>
      <w:r>
        <w:rPr>
          <w:rFonts w:ascii="Arial" w:cs="Arial" w:eastAsia="Arial" w:hAnsi="Arial"/>
          <w:color w:val="1F2937"/>
          <w:sz w:val="22"/>
          <w:szCs w:val="22"/>
        </w:rPr>
        <w:t xml:space="preserve">Nitration of pyridine gives 3-nitropyridine in 6% yield at 300 °C. Devise a two-step route to 4-nitropyridine from pyridine and explain why it works.</w:t>
      </w:r>
      <w:r>
        <w:rPr>
          <w:rFonts w:ascii="Arial" w:cs="Arial" w:eastAsia="Arial" w:hAnsi="Arial"/>
          <w:b/>
          <w:bCs/>
          <w:color w:val="D97706"/>
          <w:sz w:val="20"/>
          <w:szCs w:val="20"/>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val="false"/>
        <w:pBdr>
          <w:bottom w:val="single" w:color="A1A1AB" w:sz="4" w:space="1"/>
        </w:pBdr>
        <w:spacing w:after="0" w:before="0" w:line="420"/>
      </w:pPr>
      <w:r>
        <w:rPr>
          <w:rFonts w:ascii="Arial" w:cs="Arial" w:eastAsia="Arial" w:hAnsi="Arial"/>
          <w:color w:val="1F2937"/>
          <w:sz w:val="22"/>
          <w:szCs w:val="22"/>
        </w:rPr>
        <w:t xml:space="preserve"> </w:t>
      </w:r>
    </w:p>
    <w:p>
      <w:pPr>
        <w:spacing w:after="40" w:before="0" w:line="276"/>
      </w:pPr>
      <w:r>
        <w:rPr>
          <w:rFonts w:ascii="Arial" w:cs="Arial" w:eastAsia="Arial" w:hAnsi="Arial"/>
          <w:color w:val="1F2937"/>
          <w:sz w:val="22"/>
          <w:szCs w:val="22"/>
        </w:rPr>
        <w:t xml:space="preserve"> </w:t>
      </w:r>
    </w:p>
    <w:p>
      <w:pPr>
        <w:keepNext/>
        <w:spacing w:after="40" w:before="200"/>
      </w:pPr>
      <w:r>
        <w:rPr>
          <w:rFonts w:ascii="Arial" w:cs="Arial" w:eastAsia="Arial" w:hAnsi="Arial"/>
          <w:b/>
          <w:bCs/>
          <w:color w:val="312E81"/>
          <w:sz w:val="22"/>
          <w:szCs w:val="22"/>
        </w:rPr>
        <w:t xml:space="preserve">14.3  </w:t>
      </w:r>
      <w:r>
        <w:rPr>
          <w:rFonts w:ascii="Arial" w:cs="Arial" w:eastAsia="Arial" w:hAnsi="Arial"/>
          <w:color w:val="1F2937"/>
          <w:sz w:val="22"/>
          <w:szCs w:val="22"/>
        </w:rPr>
        <w:t xml:space="preserve">Write the mechanism of the Chichibabin reaction (pyridine + NaNH₂ → 2-aminopyridine + H₂) and explain why hydride, normally a terrible leaving group, is lost.</w:t>
      </w:r>
      <w:r>
        <w:rPr>
          <w:rFonts w:ascii="Arial" w:cs="Arial" w:eastAsia="Arial" w:hAnsi="Arial"/>
          <w:b/>
          <w:bCs/>
          <w:color w:val="D97706"/>
          <w:sz w:val="20"/>
          <w:szCs w:val="20"/>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val="false"/>
        <w:pBdr>
          <w:bottom w:val="single" w:color="A1A1AB" w:sz="4" w:space="1"/>
        </w:pBdr>
        <w:spacing w:after="0" w:before="0" w:line="420"/>
      </w:pPr>
      <w:r>
        <w:rPr>
          <w:rFonts w:ascii="Arial" w:cs="Arial" w:eastAsia="Arial" w:hAnsi="Arial"/>
          <w:color w:val="1F2937"/>
          <w:sz w:val="22"/>
          <w:szCs w:val="22"/>
        </w:rPr>
        <w:t xml:space="preserve"> </w:t>
      </w:r>
    </w:p>
    <w:p>
      <w:pPr>
        <w:spacing w:after="40" w:before="0" w:line="276"/>
      </w:pPr>
      <w:r>
        <w:rPr>
          <w:rFonts w:ascii="Arial" w:cs="Arial" w:eastAsia="Arial" w:hAnsi="Arial"/>
          <w:color w:val="1F2937"/>
          <w:sz w:val="22"/>
          <w:szCs w:val="22"/>
        </w:rPr>
        <w:t xml:space="preserve"> </w:t>
      </w:r>
    </w:p>
    <w:p>
      <w:pPr>
        <w:keepNext/>
        <w:spacing w:after="40" w:before="200"/>
      </w:pPr>
      <w:r>
        <w:rPr>
          <w:rFonts w:ascii="Arial" w:cs="Arial" w:eastAsia="Arial" w:hAnsi="Arial"/>
          <w:b/>
          <w:bCs/>
          <w:color w:val="312E81"/>
          <w:sz w:val="22"/>
          <w:szCs w:val="22"/>
        </w:rPr>
        <w:t xml:space="preserve">14.4  </w:t>
      </w:r>
      <w:r>
        <w:rPr>
          <w:rFonts w:ascii="Arial" w:cs="Arial" w:eastAsia="Arial" w:hAnsi="Arial"/>
          <w:color w:val="1F2937"/>
          <w:sz w:val="22"/>
          <w:szCs w:val="22"/>
        </w:rPr>
        <w:t xml:space="preserve">Predict the major product of (a) indole + Br₂ (1 equiv., DMF), (b) quinoline + HNO₃/H₂SO₄, (c) furan + maleic anhydride at room temperature, (d) thiophene + ethanoyl chloride/SnCl₄. Explain each.</w:t>
      </w:r>
      <w:r>
        <w:rPr>
          <w:rFonts w:ascii="Arial" w:cs="Arial" w:eastAsia="Arial" w:hAnsi="Arial"/>
          <w:b/>
          <w:bCs/>
          <w:color w:val="D97706"/>
          <w:sz w:val="20"/>
          <w:szCs w:val="20"/>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val="false"/>
        <w:pBdr>
          <w:bottom w:val="single" w:color="A1A1AA" w:sz="4" w:space="1"/>
        </w:pBdr>
        <w:spacing w:after="0" w:before="0" w:line="420"/>
      </w:pPr>
      <w:r>
        <w:rPr>
          <w:rFonts w:ascii="Arial" w:cs="Arial" w:eastAsia="Arial" w:hAnsi="Arial"/>
          <w:color w:val="1F2937"/>
          <w:sz w:val="22"/>
          <w:szCs w:val="22"/>
        </w:rPr>
        <w:t xml:space="preserve"> </w:t>
      </w:r>
    </w:p>
    <w:p>
      <w:pPr>
        <w:spacing w:after="40" w:before="0" w:line="276"/>
      </w:pPr>
      <w:r>
        <w:rPr>
          <w:rFonts w:ascii="Arial" w:cs="Arial" w:eastAsia="Arial" w:hAnsi="Arial"/>
          <w:color w:val="1F2937"/>
          <w:sz w:val="22"/>
          <w:szCs w:val="22"/>
        </w:rPr>
        <w:t xml:space="preserve"> </w:t>
      </w:r>
    </w:p>
    <w:p>
      <w:pPr>
        <w:keepNext/>
        <w:spacing w:after="40" w:before="200"/>
      </w:pPr>
      <w:r>
        <w:rPr>
          <w:rFonts w:ascii="Arial" w:cs="Arial" w:eastAsia="Arial" w:hAnsi="Arial"/>
          <w:b/>
          <w:bCs/>
          <w:color w:val="312E81"/>
          <w:sz w:val="22"/>
          <w:szCs w:val="22"/>
        </w:rPr>
        <w:t xml:space="preserve">14.5  </w:t>
      </w:r>
      <w:r>
        <w:rPr>
          <w:rFonts w:ascii="Arial" w:cs="Arial" w:eastAsia="Arial" w:hAnsi="Arial"/>
          <w:color w:val="1F2937"/>
          <w:sz w:val="22"/>
          <w:szCs w:val="22"/>
        </w:rPr>
        <w:t xml:space="preserve">Histamine, nicotine and serotonin each contain an aromatic heterocycle. Identify the heterocycle in each and state, with reasoning, whether it is electron-rich or electron-poor and which ring nitrogen (if any) is basic.</w:t>
      </w:r>
      <w:r>
        <w:rPr>
          <w:rFonts w:ascii="Arial" w:cs="Arial" w:eastAsia="Arial" w:hAnsi="Arial"/>
          <w:b/>
          <w:bCs/>
          <w:color w:val="D97706"/>
          <w:sz w:val="20"/>
          <w:szCs w:val="20"/>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val="false"/>
        <w:pBdr>
          <w:bottom w:val="single" w:color="A1A1AA" w:sz="4" w:space="1"/>
        </w:pBdr>
        <w:spacing w:after="0" w:before="0" w:line="420"/>
      </w:pPr>
      <w:r>
        <w:rPr>
          <w:rFonts w:ascii="Arial" w:cs="Arial" w:eastAsia="Arial" w:hAnsi="Arial"/>
          <w:color w:val="1F2937"/>
          <w:sz w:val="22"/>
          <w:szCs w:val="22"/>
        </w:rPr>
        <w:t xml:space="preserve"> </w:t>
      </w:r>
    </w:p>
    <w:p>
      <w:pPr>
        <w:spacing w:after="40" w:before="0" w:line="276"/>
      </w:pPr>
      <w:r>
        <w:rPr>
          <w:rFonts w:ascii="Arial" w:cs="Arial" w:eastAsia="Arial" w:hAnsi="Arial"/>
          <w:color w:val="1F2937"/>
          <w:sz w:val="22"/>
          <w:szCs w:val="22"/>
        </w:rPr>
        <w:t xml:space="preserve"> </w:t>
      </w:r>
    </w:p>
    <w:tbl>
      <w:tblPr>
        <w:tblW w:type="dxa" w:w="9640"/>
        <w:tblBorders>
          <w:top w:val="single" w:color="CBD5E1" w:sz="8"/>
          <w:left w:val="single" w:color="CBD5E1" w:sz="8"/>
          <w:bottom w:val="single" w:color="CBD5E1" w:sz="8"/>
          <w:right w:val="single" w:color="CBD5E1" w:sz="8"/>
          <w:insideH w:val="single" w:color="CBD5E1" w:sz="8"/>
          <w:insideV w:val="single" w:color="CBD5E1" w:sz="8"/>
        </w:tblBorders>
      </w:tblPr>
      <w:tblGrid>
        <w:gridCol w:w="9640"/>
      </w:tblGrid>
      <w:tr>
        <w:trPr>
          <w:cantSplit/>
        </w:trPr>
        <w:tc>
          <w:tcPr>
            <w:tcW w:type="dxa" w:w="9640"/>
            <w:shd w:fill="F8FAFC" w:color="auto" w:val="clear"/>
            <w:tcMar>
              <w:top w:type="dxa" w:w="100"/>
              <w:left w:type="dxa" w:w="160"/>
              <w:bottom w:type="dxa" w:w="100"/>
              <w:right w:type="dxa" w:w="160"/>
            </w:tcMar>
          </w:tcPr>
          <w:p>
            <w:pPr>
              <w:spacing w:after="40" w:before="0" w:line="276"/>
            </w:pPr>
            <w:r>
              <w:rPr>
                <w:rFonts w:ascii="Arial" w:cs="Arial" w:eastAsia="Arial" w:hAnsi="Arial"/>
                <w:b/>
                <w:bCs/>
                <w:color w:val="312E81"/>
                <w:sz w:val="20"/>
                <w:szCs w:val="20"/>
              </w:rPr>
              <w:t xml:space="preserve">Reading for this section</w:t>
            </w:r>
          </w:p>
          <w:p>
            <w:pPr>
              <w:spacing w:after="20" w:before="20" w:line="276"/>
              <w:ind w:left="200" w:hanging="200"/>
            </w:pPr>
            <w:r>
              <w:rPr>
                <w:rFonts w:ascii="Arial" w:cs="Arial" w:eastAsia="Arial" w:hAnsi="Arial"/>
                <w:b/>
                <w:bCs/>
                <w:color w:val="312E81"/>
                <w:sz w:val="19"/>
                <w:szCs w:val="19"/>
              </w:rPr>
              <w:t xml:space="preserve">▸ </w:t>
            </w:r>
            <w:r>
              <w:rPr>
                <w:rFonts w:ascii="Arial" w:cs="Arial" w:eastAsia="Arial" w:hAnsi="Arial"/>
                <w:color w:val="1F2937"/>
                <w:sz w:val="19"/>
                <w:szCs w:val="19"/>
              </w:rPr>
              <w:t xml:space="preserve">J. A. Joule &amp; K. Mills, Heterocyclic Chemistry (5th ed., Wiley)</w:t>
            </w:r>
            <w:r>
              <w:rPr>
                <w:rFonts w:ascii="Arial" w:cs="Arial" w:eastAsia="Arial" w:hAnsi="Arial"/>
                <w:i/>
                <w:iCs/>
                <w:color w:val="4B5563"/>
                <w:sz w:val="19"/>
                <w:szCs w:val="19"/>
              </w:rPr>
              <w:t xml:space="preserve">  —  the standard second-year text</w:t>
            </w:r>
          </w:p>
          <w:p>
            <w:pPr>
              <w:spacing w:after="20" w:before="20" w:line="276"/>
              <w:ind w:left="200" w:hanging="200"/>
            </w:pPr>
            <w:r>
              <w:rPr>
                <w:rFonts w:ascii="Arial" w:cs="Arial" w:eastAsia="Arial" w:hAnsi="Arial"/>
                <w:b/>
                <w:bCs/>
                <w:color w:val="312E81"/>
                <w:sz w:val="19"/>
                <w:szCs w:val="19"/>
              </w:rPr>
              <w:t xml:space="preserve">▸ </w:t>
            </w:r>
            <w:r>
              <w:rPr>
                <w:rFonts w:ascii="Arial" w:cs="Arial" w:eastAsia="Arial" w:hAnsi="Arial"/>
                <w:color w:val="1F2937"/>
                <w:sz w:val="19"/>
                <w:szCs w:val="19"/>
              </w:rPr>
              <w:t xml:space="preserve">Clayden ch. 29 'Aromatic heterocycles 1: reactions' and ch. 30 'Aromatic heterocycles 2: synthesis'</w:t>
            </w:r>
            <w:r>
              <w:rPr>
                <w:rFonts w:ascii="Arial" w:cs="Arial" w:eastAsia="Arial" w:hAnsi="Arial"/>
                <w:i/>
                <w:iCs/>
                <w:color w:val="4B5563"/>
                <w:sz w:val="19"/>
                <w:szCs w:val="19"/>
              </w:rPr>
              <w:t xml:space="preserve">  —  reactivity patterns explained with resonance</w:t>
            </w:r>
          </w:p>
          <w:p>
            <w:pPr>
              <w:spacing w:after="20" w:before="20" w:line="276"/>
              <w:ind w:left="200" w:hanging="200"/>
            </w:pPr>
            <w:r>
              <w:rPr>
                <w:rFonts w:ascii="Arial" w:cs="Arial" w:eastAsia="Arial" w:hAnsi="Arial"/>
                <w:b/>
                <w:bCs/>
                <w:color w:val="312E81"/>
                <w:sz w:val="19"/>
                <w:szCs w:val="19"/>
              </w:rPr>
              <w:t xml:space="preserve">▸ </w:t>
            </w:r>
            <w:r>
              <w:rPr>
                <w:rFonts w:ascii="Arial" w:cs="Arial" w:eastAsia="Arial" w:hAnsi="Arial"/>
                <w:color w:val="1F2937"/>
                <w:sz w:val="19"/>
                <w:szCs w:val="19"/>
              </w:rPr>
              <w:t xml:space="preserve">T. L. Gilchrist, Heterocyclic Chemistry (3rd ed., Longman)</w:t>
            </w:r>
            <w:r>
              <w:rPr>
                <w:rFonts w:ascii="Arial" w:cs="Arial" w:eastAsia="Arial" w:hAnsi="Arial"/>
                <w:i/>
                <w:iCs/>
                <w:color w:val="4B5563"/>
                <w:sz w:val="19"/>
                <w:szCs w:val="19"/>
              </w:rPr>
              <w:t xml:space="preserve">  —  concise alternative</w:t>
            </w:r>
          </w:p>
        </w:tc>
      </w:tr>
    </w:tbl>
    <w:p>
      <w:pPr>
        <w:spacing w:after="40" w:before="0" w:line="276"/>
      </w:pPr>
      <w:r>
        <w:rPr>
          <w:rFonts w:ascii="Arial" w:cs="Arial" w:eastAsia="Arial" w:hAnsi="Arial"/>
          <w:color w:val="1F2937"/>
          <w:sz w:val="22"/>
          <w:szCs w:val="22"/>
        </w:rPr>
        <w:t xml:space="preserve"> </w:t>
      </w:r>
    </w:p>
    <w:p>
      <w:pPr>
        <w:pageBreakBefore/>
        <w:spacing w:after="0" w:before="0" w:line="20"/>
      </w:pPr>
      <w:r>
        <w:rPr>
          <w:sz w:val="2"/>
          <w:szCs w:val="2"/>
        </w:rPr>
        <w:t xml:space="preserve"/>
      </w:r>
    </w:p>
    <w:tbl>
      <w:tblPr>
        <w:tblW w:type="dxa" w:w="9640"/>
        <w:tblBorders>
          <w:top w:val="none" w:color="FFFFFF" w:sz="0"/>
          <w:left w:val="none" w:color="FFFFFF" w:sz="0"/>
          <w:bottom w:val="none" w:color="FFFFFF" w:sz="0"/>
          <w:right w:val="none" w:color="FFFFFF" w:sz="0"/>
          <w:insideH w:val="none" w:color="FFFFFF" w:sz="0"/>
          <w:insideV w:val="none" w:color="FFFFFF" w:sz="0"/>
        </w:tblBorders>
      </w:tblPr>
      <w:tblGrid>
        <w:gridCol w:w="9640"/>
      </w:tblGrid>
      <w:tr>
        <w:trPr>
          <w:cantSplit/>
        </w:trPr>
        <w:tc>
          <w:tcPr>
            <w:tcW w:type="dxa" w:w="9640"/>
            <w:shd w:fill="312E81" w:color="auto" w:val="clear"/>
            <w:tcMar>
              <w:top w:type="dxa" w:w="160"/>
              <w:left w:type="dxa" w:w="240"/>
              <w:bottom w:type="dxa" w:w="160"/>
              <w:right w:type="dxa" w:w="240"/>
            </w:tcMar>
          </w:tcPr>
          <w:p>
            <w:pPr>
              <w:tabs>
                <w:tab w:val="right" w:pos="9160"/>
              </w:tabs>
              <w:spacing w:after="0" w:before="0" w:line="276"/>
            </w:pPr>
            <w:r>
              <w:rPr>
                <w:rFonts w:ascii="Arial" w:cs="Arial" w:eastAsia="Arial" w:hAnsi="Arial"/>
                <w:b/>
                <w:bCs/>
                <w:color w:val="FFFFFF"/>
                <w:sz w:val="22"/>
                <w:szCs w:val="22"/>
              </w:rPr>
              <w:t xml:space="preserve">Section 15</w:t>
            </w:r>
            <w:r>
              <w:rPr>
                <w:rFonts w:ascii="Arial" w:cs="Arial" w:eastAsia="Arial" w:hAnsi="Arial"/>
                <w:b/>
                <w:bCs/>
                <w:color w:val="FFFFFF"/>
                <w:sz w:val="18"/>
                <w:szCs w:val="18"/>
              </w:rPr>
              <w:t xml:space="preserve">	PART B · SECOND-YEAR UNDERGRADUATE LEVEL</w:t>
            </w:r>
          </w:p>
          <w:p>
            <w:pPr>
              <w:spacing w:after="40" w:before="40" w:line="276"/>
            </w:pPr>
            <w:r>
              <w:rPr>
                <w:rFonts w:ascii="Arial" w:cs="Arial" w:eastAsia="Arial" w:hAnsi="Arial"/>
                <w:b/>
                <w:bCs/>
                <w:color w:val="FFFFFF"/>
                <w:sz w:val="32"/>
                <w:szCs w:val="32"/>
              </w:rPr>
              <w:t xml:space="preserve">Spectroscopy of aromatic rings</w:t>
            </w:r>
          </w:p>
          <w:p>
            <w:pPr>
              <w:spacing w:after="0" w:before="0" w:line="276"/>
            </w:pPr>
            <w:r>
              <w:rPr>
                <w:rFonts w:ascii="Arial" w:cs="Arial" w:eastAsia="Arial" w:hAnsi="Arial"/>
                <w:i/>
                <w:iCs/>
                <w:color w:val="F5F3FF"/>
                <w:sz w:val="21"/>
                <w:szCs w:val="21"/>
              </w:rPr>
              <w:t xml:space="preserve">Links to OCR 6.3.2 — but at the depth of a second-year structure-determination course: coupling constants, symmetry and the out-of-plane region.</w:t>
            </w:r>
          </w:p>
        </w:tc>
      </w:tr>
    </w:tbl>
    <w:p>
      <w:pPr>
        <w:spacing w:after="40" w:before="0" w:line="276"/>
      </w:pPr>
      <w:r>
        <w:rPr>
          <w:rFonts w:ascii="Arial" w:cs="Arial" w:eastAsia="Arial" w:hAnsi="Arial"/>
          <w:color w:val="1F2937"/>
          <w:sz w:val="22"/>
          <w:szCs w:val="22"/>
        </w:rPr>
        <w:t xml:space="preserve"> </w:t>
      </w:r>
    </w:p>
    <w:tbl>
      <w:tblPr>
        <w:tblW w:type="dxa" w:w="9640"/>
        <w:tblBorders>
          <w:top w:val="single" w:color="14B8A6" w:sz="8"/>
          <w:left w:val="single" w:color="14B8A6" w:sz="8"/>
          <w:bottom w:val="single" w:color="14B8A6" w:sz="8"/>
          <w:right w:val="single" w:color="14B8A6" w:sz="8"/>
          <w:insideH w:val="single" w:color="14B8A6" w:sz="8"/>
          <w:insideV w:val="single" w:color="14B8A6" w:sz="8"/>
        </w:tblBorders>
      </w:tblPr>
      <w:tblGrid>
        <w:gridCol w:w="9640"/>
      </w:tblGrid>
      <w:tr>
        <w:trPr>
          <w:cantSplit/>
        </w:trPr>
        <w:tc>
          <w:tcPr>
            <w:tcW w:type="dxa" w:w="9640"/>
            <w:shd w:fill="CCFBF1" w:color="auto" w:val="clear"/>
            <w:tcMar>
              <w:top w:type="dxa" w:w="100"/>
              <w:left w:type="dxa" w:w="160"/>
              <w:bottom w:type="dxa" w:w="100"/>
              <w:right w:type="dxa" w:w="160"/>
            </w:tcMar>
          </w:tcPr>
          <w:p>
            <w:pPr>
              <w:spacing w:after="40" w:before="0" w:line="276"/>
            </w:pPr>
            <w:r>
              <w:rPr>
                <w:rFonts w:ascii="Arial" w:cs="Arial" w:eastAsia="Arial" w:hAnsi="Arial"/>
                <w:b/>
                <w:bCs/>
                <w:color w:val="0F766E"/>
                <w:sz w:val="22"/>
                <w:szCs w:val="22"/>
              </w:rPr>
              <w:t xml:space="preserve">Key facts</w:t>
            </w:r>
          </w:p>
          <w:p>
            <w:pPr>
              <w:spacing w:after="20" w:before="20" w:line="276"/>
            </w:pPr>
            <w:r>
              <w:rPr>
                <w:rFonts w:ascii="Arial" w:cs="Arial" w:eastAsia="Arial" w:hAnsi="Arial"/>
                <w:color w:val="1F2937"/>
                <w:sz w:val="21"/>
                <w:szCs w:val="21"/>
              </w:rPr>
              <w:t xml:space="preserve">•  ¹H NMR: aromatic H at 6.5–8.5 ppm (ring current). Electron-withdrawing groups deshield the ortho/para H (nitrobenzene ortho H at 8.2 ppm); donating groups shield them (methoxybenzene ortho H at 6.9 ppm). The meta H are barely affected — a direct picture of resonance donation/withdrawal.</w:t>
            </w:r>
          </w:p>
          <w:p>
            <w:pPr>
              <w:spacing w:after="20" w:before="20" w:line="276"/>
            </w:pPr>
            <w:r>
              <w:rPr>
                <w:rFonts w:ascii="Arial" w:cs="Arial" w:eastAsia="Arial" w:hAnsi="Arial"/>
                <w:color w:val="1F2937"/>
                <w:sz w:val="21"/>
                <w:szCs w:val="21"/>
              </w:rPr>
              <w:t xml:space="preserve">•  Coupling: ³J(ortho) = 7–9 Hz, ⁴J(meta) = 2–3 Hz, ⁵J(para) = 0–1 Hz. A 1,4-disubstituted ring with different substituents gives two 2H 'doublets' (an AA'BB' system) — the most recognisable pattern in the spectrum. A 1,2-disubstituted ring gives a complex 4H multiplet; 1,3-disubstitution gives an isolated H2 as a narrow triplet/singlet.</w:t>
            </w:r>
          </w:p>
          <w:p>
            <w:pPr>
              <w:spacing w:after="20" w:before="20" w:line="276"/>
            </w:pPr>
            <w:r>
              <w:rPr>
                <w:rFonts w:ascii="Arial" w:cs="Arial" w:eastAsia="Arial" w:hAnsi="Arial"/>
                <w:color w:val="1F2937"/>
                <w:sz w:val="21"/>
                <w:szCs w:val="21"/>
              </w:rPr>
              <w:t xml:space="preserve">•  ¹³C NMR: aromatic C at 110–160 ppm. Count environments to find the symmetry: benzene 1, toluene 5, 1,2-dimethylbenzene 4 (incl. CH₃), 1,3- 5, 1,4- 3. The ipso carbon of a substituent with +M shifts its ortho/para carbons upfield (methoxybenzene C2/C4 at 114/121 ppm).</w:t>
            </w:r>
          </w:p>
          <w:p>
            <w:pPr>
              <w:spacing w:after="20" w:before="20" w:line="276"/>
            </w:pPr>
            <w:r>
              <w:rPr>
                <w:rFonts w:ascii="Arial" w:cs="Arial" w:eastAsia="Arial" w:hAnsi="Arial"/>
                <w:color w:val="1F2937"/>
                <w:sz w:val="21"/>
                <w:szCs w:val="21"/>
              </w:rPr>
              <w:t xml:space="preserve">•  IR: C–H out-of-plane bends 680–900 cm⁻¹ reveal the substitution pattern: mono 690 + 750; 1,2- 750; 1,3- 690 + 780; 1,4- 830 cm⁻¹. Weak overtone 'fingers' at 1660–2000 cm⁻¹; ring C=C stretches 1450–1600 cm⁻¹.</w:t>
            </w:r>
          </w:p>
          <w:p>
            <w:pPr>
              <w:spacing w:after="20" w:before="20" w:line="276"/>
            </w:pPr>
            <w:r>
              <w:rPr>
                <w:rFonts w:ascii="Arial" w:cs="Arial" w:eastAsia="Arial" w:hAnsi="Arial"/>
                <w:color w:val="1F2937"/>
                <w:sz w:val="21"/>
                <w:szCs w:val="21"/>
              </w:rPr>
              <w:t xml:space="preserve">•  Mass spectra: aromatic molecular ions are intense (the ring stabilises the radical cation); the tropylium ion C₇H₇⁺ (m/z 91) dominates spectra of alkylbenzenes — benzyl cations rearrange to the aromatic 6 π tropylium ion.</w:t>
            </w:r>
          </w:p>
        </w:tc>
      </w:tr>
    </w:tbl>
    <w:p>
      <w:pPr>
        <w:keepNext/>
        <w:spacing w:after="40" w:before="200"/>
      </w:pPr>
      <w:r>
        <w:rPr>
          <w:rFonts w:ascii="Arial" w:cs="Arial" w:eastAsia="Arial" w:hAnsi="Arial"/>
          <w:b/>
          <w:bCs/>
          <w:color w:val="312E81"/>
          <w:sz w:val="22"/>
          <w:szCs w:val="22"/>
        </w:rPr>
        <w:t xml:space="preserve">15.1  </w:t>
      </w:r>
      <w:r>
        <w:rPr>
          <w:rFonts w:ascii="Arial" w:cs="Arial" w:eastAsia="Arial" w:hAnsi="Arial"/>
          <w:color w:val="1F2937"/>
          <w:sz w:val="22"/>
          <w:szCs w:val="22"/>
        </w:rPr>
        <w:t xml:space="preserve">An aromatic compound C₈H₁₀ shows three aromatic ¹³C signals and one aliphatic signal; its ¹H spectrum has a 4H singlet at 7.1 ppm and a 6H singlet at 2.3 ppm. Identify it and explain how the other C₈H₁₀ arene isomers would differ.</w:t>
      </w:r>
      <w:r>
        <w:rPr>
          <w:rFonts w:ascii="Arial" w:cs="Arial" w:eastAsia="Arial" w:hAnsi="Arial"/>
          <w:b/>
          <w:bCs/>
          <w:color w:val="D97706"/>
          <w:sz w:val="20"/>
          <w:szCs w:val="20"/>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val="false"/>
        <w:pBdr>
          <w:bottom w:val="single" w:color="A1A1AB" w:sz="4" w:space="1"/>
        </w:pBdr>
        <w:spacing w:after="0" w:before="0" w:line="420"/>
      </w:pPr>
      <w:r>
        <w:rPr>
          <w:rFonts w:ascii="Arial" w:cs="Arial" w:eastAsia="Arial" w:hAnsi="Arial"/>
          <w:color w:val="1F2937"/>
          <w:sz w:val="22"/>
          <w:szCs w:val="22"/>
        </w:rPr>
        <w:t xml:space="preserve"> </w:t>
      </w:r>
    </w:p>
    <w:p>
      <w:pPr>
        <w:spacing w:after="40" w:before="0" w:line="276"/>
      </w:pPr>
      <w:r>
        <w:rPr>
          <w:rFonts w:ascii="Arial" w:cs="Arial" w:eastAsia="Arial" w:hAnsi="Arial"/>
          <w:color w:val="1F2937"/>
          <w:sz w:val="22"/>
          <w:szCs w:val="22"/>
        </w:rPr>
        <w:t xml:space="preserve"> </w:t>
      </w:r>
    </w:p>
    <w:p>
      <w:pPr>
        <w:keepNext/>
        <w:spacing w:after="40" w:before="200"/>
      </w:pPr>
      <w:r>
        <w:rPr>
          <w:rFonts w:ascii="Arial" w:cs="Arial" w:eastAsia="Arial" w:hAnsi="Arial"/>
          <w:b/>
          <w:bCs/>
          <w:color w:val="312E81"/>
          <w:sz w:val="22"/>
          <w:szCs w:val="22"/>
        </w:rPr>
        <w:t xml:space="preserve">15.2  </w:t>
      </w:r>
      <w:r>
        <w:rPr>
          <w:rFonts w:ascii="Arial" w:cs="Arial" w:eastAsia="Arial" w:hAnsi="Arial"/>
          <w:color w:val="1F2937"/>
          <w:sz w:val="22"/>
          <w:szCs w:val="22"/>
        </w:rPr>
        <w:t xml:space="preserve">The ¹H NMR spectrum of 4-nitrotoluene shows δ 8.13 (d, J = 8.5 Hz, 2H), 7.33 (d, J = 8.5 Hz, 2H), 2.45 (s, 3H). Assign every signal and explain the chemical shifts in terms of the substituents.</w:t>
      </w:r>
      <w:r>
        <w:rPr>
          <w:rFonts w:ascii="Arial" w:cs="Arial" w:eastAsia="Arial" w:hAnsi="Arial"/>
          <w:b/>
          <w:bCs/>
          <w:color w:val="D97706"/>
          <w:sz w:val="20"/>
          <w:szCs w:val="20"/>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val="false"/>
        <w:pBdr>
          <w:bottom w:val="single" w:color="A1A1AB" w:sz="4" w:space="1"/>
        </w:pBdr>
        <w:spacing w:after="0" w:before="0" w:line="420"/>
      </w:pPr>
      <w:r>
        <w:rPr>
          <w:rFonts w:ascii="Arial" w:cs="Arial" w:eastAsia="Arial" w:hAnsi="Arial"/>
          <w:color w:val="1F2937"/>
          <w:sz w:val="22"/>
          <w:szCs w:val="22"/>
        </w:rPr>
        <w:t xml:space="preserve"> </w:t>
      </w:r>
    </w:p>
    <w:p>
      <w:pPr>
        <w:spacing w:after="40" w:before="0" w:line="276"/>
      </w:pPr>
      <w:r>
        <w:rPr>
          <w:rFonts w:ascii="Arial" w:cs="Arial" w:eastAsia="Arial" w:hAnsi="Arial"/>
          <w:color w:val="1F2937"/>
          <w:sz w:val="22"/>
          <w:szCs w:val="22"/>
        </w:rPr>
        <w:t xml:space="preserve"> </w:t>
      </w:r>
    </w:p>
    <w:p>
      <w:pPr>
        <w:keepNext/>
        <w:spacing w:after="40" w:before="200"/>
      </w:pPr>
      <w:r>
        <w:rPr>
          <w:rFonts w:ascii="Arial" w:cs="Arial" w:eastAsia="Arial" w:hAnsi="Arial"/>
          <w:b/>
          <w:bCs/>
          <w:color w:val="312E81"/>
          <w:sz w:val="22"/>
          <w:szCs w:val="22"/>
        </w:rPr>
        <w:t xml:space="preserve">15.3  </w:t>
      </w:r>
      <w:r>
        <w:rPr>
          <w:rFonts w:ascii="Arial" w:cs="Arial" w:eastAsia="Arial" w:hAnsi="Arial"/>
          <w:color w:val="1F2937"/>
          <w:sz w:val="22"/>
          <w:szCs w:val="22"/>
        </w:rPr>
        <w:t xml:space="preserve">The three dinitrobenzene isomers are hard to tell apart by mass spectrometry. Explain how ¹³C NMR and IR distinguish them, giving the number of ¹³C environments for each and the diagnostic IR bands.</w:t>
      </w:r>
      <w:r>
        <w:rPr>
          <w:rFonts w:ascii="Arial" w:cs="Arial" w:eastAsia="Arial" w:hAnsi="Arial"/>
          <w:b/>
          <w:bCs/>
          <w:color w:val="D97706"/>
          <w:sz w:val="20"/>
          <w:szCs w:val="20"/>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val="false"/>
        <w:pBdr>
          <w:bottom w:val="single" w:color="A1A1AB" w:sz="4" w:space="1"/>
        </w:pBdr>
        <w:spacing w:after="0" w:before="0" w:line="420"/>
      </w:pPr>
      <w:r>
        <w:rPr>
          <w:rFonts w:ascii="Arial" w:cs="Arial" w:eastAsia="Arial" w:hAnsi="Arial"/>
          <w:color w:val="1F2937"/>
          <w:sz w:val="22"/>
          <w:szCs w:val="22"/>
        </w:rPr>
        <w:t xml:space="preserve"> </w:t>
      </w:r>
    </w:p>
    <w:p>
      <w:pPr>
        <w:spacing w:after="40" w:before="0" w:line="276"/>
      </w:pPr>
      <w:r>
        <w:rPr>
          <w:rFonts w:ascii="Arial" w:cs="Arial" w:eastAsia="Arial" w:hAnsi="Arial"/>
          <w:color w:val="1F2937"/>
          <w:sz w:val="22"/>
          <w:szCs w:val="22"/>
        </w:rPr>
        <w:t xml:space="preserve"> </w:t>
      </w:r>
    </w:p>
    <w:p>
      <w:pPr>
        <w:keepNext/>
        <w:spacing w:after="40" w:before="200"/>
      </w:pPr>
      <w:r>
        <w:rPr>
          <w:rFonts w:ascii="Arial" w:cs="Arial" w:eastAsia="Arial" w:hAnsi="Arial"/>
          <w:b/>
          <w:bCs/>
          <w:color w:val="312E81"/>
          <w:sz w:val="22"/>
          <w:szCs w:val="22"/>
        </w:rPr>
        <w:t xml:space="preserve">15.4  </w:t>
      </w:r>
      <w:r>
        <w:rPr>
          <w:rFonts w:ascii="Arial" w:cs="Arial" w:eastAsia="Arial" w:hAnsi="Arial"/>
          <w:color w:val="1F2937"/>
          <w:sz w:val="22"/>
          <w:szCs w:val="22"/>
        </w:rPr>
        <w:t xml:space="preserve">Predict the ¹H NMR spectrum of 2,4,6-tribromophenol (the product of the A-level bromination of phenol) and of 4-bromophenol, and explain how NMR proves that bromination went to positions 2, 4 and 6 rather than, say, 2, 3 and 4.</w:t>
      </w:r>
      <w:r>
        <w:rPr>
          <w:rFonts w:ascii="Arial" w:cs="Arial" w:eastAsia="Arial" w:hAnsi="Arial"/>
          <w:b/>
          <w:bCs/>
          <w:color w:val="D97706"/>
          <w:sz w:val="20"/>
          <w:szCs w:val="20"/>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val="false"/>
        <w:pBdr>
          <w:bottom w:val="single" w:color="A1A1AB" w:sz="4" w:space="1"/>
        </w:pBdr>
        <w:spacing w:after="0" w:before="0" w:line="420"/>
      </w:pPr>
      <w:r>
        <w:rPr>
          <w:rFonts w:ascii="Arial" w:cs="Arial" w:eastAsia="Arial" w:hAnsi="Arial"/>
          <w:color w:val="1F2937"/>
          <w:sz w:val="22"/>
          <w:szCs w:val="22"/>
        </w:rPr>
        <w:t xml:space="preserve"> </w:t>
      </w:r>
    </w:p>
    <w:p>
      <w:pPr>
        <w:spacing w:after="40" w:before="0" w:line="276"/>
      </w:pPr>
      <w:r>
        <w:rPr>
          <w:rFonts w:ascii="Arial" w:cs="Arial" w:eastAsia="Arial" w:hAnsi="Arial"/>
          <w:color w:val="1F2937"/>
          <w:sz w:val="22"/>
          <w:szCs w:val="22"/>
        </w:rPr>
        <w:t xml:space="preserve"> </w:t>
      </w:r>
    </w:p>
    <w:tbl>
      <w:tblPr>
        <w:tblW w:type="dxa" w:w="9640"/>
        <w:tblBorders>
          <w:top w:val="single" w:color="CBD5E1" w:sz="8"/>
          <w:left w:val="single" w:color="CBD5E1" w:sz="8"/>
          <w:bottom w:val="single" w:color="CBD5E1" w:sz="8"/>
          <w:right w:val="single" w:color="CBD5E1" w:sz="8"/>
          <w:insideH w:val="single" w:color="CBD5E1" w:sz="8"/>
          <w:insideV w:val="single" w:color="CBD5E1" w:sz="8"/>
        </w:tblBorders>
      </w:tblPr>
      <w:tblGrid>
        <w:gridCol w:w="9640"/>
      </w:tblGrid>
      <w:tr>
        <w:trPr>
          <w:cantSplit/>
        </w:trPr>
        <w:tc>
          <w:tcPr>
            <w:tcW w:type="dxa" w:w="9640"/>
            <w:shd w:fill="F8FAFC" w:color="auto" w:val="clear"/>
            <w:tcMar>
              <w:top w:type="dxa" w:w="100"/>
              <w:left w:type="dxa" w:w="160"/>
              <w:bottom w:type="dxa" w:w="100"/>
              <w:right w:type="dxa" w:w="160"/>
            </w:tcMar>
          </w:tcPr>
          <w:p>
            <w:pPr>
              <w:spacing w:after="40" w:before="0" w:line="276"/>
            </w:pPr>
            <w:r>
              <w:rPr>
                <w:rFonts w:ascii="Arial" w:cs="Arial" w:eastAsia="Arial" w:hAnsi="Arial"/>
                <w:b/>
                <w:bCs/>
                <w:color w:val="312E81"/>
                <w:sz w:val="20"/>
                <w:szCs w:val="20"/>
              </w:rPr>
              <w:t xml:space="preserve">Reading for this section</w:t>
            </w:r>
          </w:p>
          <w:p>
            <w:pPr>
              <w:spacing w:after="20" w:before="20" w:line="276"/>
              <w:ind w:left="200" w:hanging="200"/>
            </w:pPr>
            <w:r>
              <w:rPr>
                <w:rFonts w:ascii="Arial" w:cs="Arial" w:eastAsia="Arial" w:hAnsi="Arial"/>
                <w:b/>
                <w:bCs/>
                <w:color w:val="312E81"/>
                <w:sz w:val="19"/>
                <w:szCs w:val="19"/>
              </w:rPr>
              <w:t xml:space="preserve">▸ </w:t>
            </w:r>
            <w:r>
              <w:rPr>
                <w:rFonts w:ascii="Arial" w:cs="Arial" w:eastAsia="Arial" w:hAnsi="Arial"/>
                <w:color w:val="1F2937"/>
                <w:sz w:val="19"/>
                <w:szCs w:val="19"/>
              </w:rPr>
              <w:t xml:space="preserve">Clayden ch. 13 '¹H NMR' and ch. 18 'Structure determination'</w:t>
            </w:r>
            <w:r>
              <w:rPr>
                <w:rFonts w:ascii="Arial" w:cs="Arial" w:eastAsia="Arial" w:hAnsi="Arial"/>
                <w:i/>
                <w:iCs/>
                <w:color w:val="4B5563"/>
                <w:sz w:val="19"/>
                <w:szCs w:val="19"/>
              </w:rPr>
              <w:t xml:space="preserve">  —  aromatic coupling patterns worked through</w:t>
            </w:r>
          </w:p>
          <w:p>
            <w:pPr>
              <w:spacing w:after="20" w:before="20" w:line="276"/>
              <w:ind w:left="200" w:hanging="200"/>
            </w:pPr>
            <w:r>
              <w:rPr>
                <w:rFonts w:ascii="Arial" w:cs="Arial" w:eastAsia="Arial" w:hAnsi="Arial"/>
                <w:b/>
                <w:bCs/>
                <w:color w:val="312E81"/>
                <w:sz w:val="19"/>
                <w:szCs w:val="19"/>
              </w:rPr>
              <w:t xml:space="preserve">▸ </w:t>
            </w:r>
            <w:r>
              <w:rPr>
                <w:rFonts w:ascii="Arial" w:cs="Arial" w:eastAsia="Arial" w:hAnsi="Arial"/>
                <w:color w:val="1F2937"/>
                <w:sz w:val="19"/>
                <w:szCs w:val="19"/>
              </w:rPr>
              <w:t xml:space="preserve">D. H. Williams &amp; I. Fleming, Spectroscopic Methods in Organic Chemistry (6th ed., McGraw-Hill)</w:t>
            </w:r>
            <w:r>
              <w:rPr>
                <w:rFonts w:ascii="Arial" w:cs="Arial" w:eastAsia="Arial" w:hAnsi="Arial"/>
                <w:i/>
                <w:iCs/>
                <w:color w:val="4B5563"/>
                <w:sz w:val="19"/>
                <w:szCs w:val="19"/>
              </w:rPr>
              <w:t xml:space="preserve">  —  the tables every research group keeps on the shelf</w:t>
            </w:r>
          </w:p>
          <w:p>
            <w:pPr>
              <w:spacing w:after="20" w:before="20" w:line="276"/>
              <w:ind w:left="200" w:hanging="200"/>
            </w:pPr>
            <w:r>
              <w:rPr>
                <w:rFonts w:ascii="Arial" w:cs="Arial" w:eastAsia="Arial" w:hAnsi="Arial"/>
                <w:b/>
                <w:bCs/>
                <w:color w:val="312E81"/>
                <w:sz w:val="19"/>
                <w:szCs w:val="19"/>
              </w:rPr>
              <w:t xml:space="preserve">▸ </w:t>
            </w:r>
            <w:r>
              <w:rPr>
                <w:rFonts w:ascii="Arial" w:cs="Arial" w:eastAsia="Arial" w:hAnsi="Arial"/>
                <w:color w:val="1F2937"/>
                <w:sz w:val="19"/>
                <w:szCs w:val="19"/>
              </w:rPr>
              <w:t xml:space="preserve">SDBS spectral database (AIST, Japan — free online)</w:t>
            </w:r>
            <w:r>
              <w:rPr>
                <w:rFonts w:ascii="Arial" w:cs="Arial" w:eastAsia="Arial" w:hAnsi="Arial"/>
                <w:i/>
                <w:iCs/>
                <w:color w:val="4B5563"/>
                <w:sz w:val="19"/>
                <w:szCs w:val="19"/>
              </w:rPr>
              <w:t xml:space="preserve">  —  look up the real spectra of every compound in this pack</w:t>
            </w:r>
          </w:p>
        </w:tc>
      </w:tr>
    </w:tbl>
    <w:p>
      <w:pPr>
        <w:spacing w:after="40" w:before="0" w:line="276"/>
      </w:pPr>
      <w:r>
        <w:rPr>
          <w:rFonts w:ascii="Arial" w:cs="Arial" w:eastAsia="Arial" w:hAnsi="Arial"/>
          <w:color w:val="1F2937"/>
          <w:sz w:val="22"/>
          <w:szCs w:val="22"/>
        </w:rPr>
        <w:t xml:space="preserve"> </w:t>
      </w:r>
    </w:p>
    <w:p>
      <w:pPr>
        <w:pageBreakBefore/>
        <w:spacing w:after="0" w:before="0" w:line="20"/>
      </w:pPr>
      <w:r>
        <w:rPr>
          <w:sz w:val="2"/>
          <w:szCs w:val="2"/>
        </w:rPr>
        <w:t xml:space="preserve"/>
      </w:r>
    </w:p>
    <w:tbl>
      <w:tblPr>
        <w:tblW w:type="dxa" w:w="9640"/>
        <w:tblBorders>
          <w:top w:val="none" w:color="FFFFFF" w:sz="0"/>
          <w:left w:val="none" w:color="FFFFFF" w:sz="0"/>
          <w:bottom w:val="none" w:color="FFFFFF" w:sz="0"/>
          <w:right w:val="none" w:color="FFFFFF" w:sz="0"/>
          <w:insideH w:val="none" w:color="FFFFFF" w:sz="0"/>
          <w:insideV w:val="none" w:color="FFFFFF" w:sz="0"/>
        </w:tblBorders>
      </w:tblPr>
      <w:tblGrid>
        <w:gridCol w:w="9640"/>
      </w:tblGrid>
      <w:tr>
        <w:trPr>
          <w:cantSplit/>
        </w:trPr>
        <w:tc>
          <w:tcPr>
            <w:tcW w:type="dxa" w:w="9640"/>
            <w:shd w:fill="312E81" w:color="auto" w:val="clear"/>
            <w:tcMar>
              <w:top w:type="dxa" w:w="160"/>
              <w:left w:type="dxa" w:w="240"/>
              <w:bottom w:type="dxa" w:w="160"/>
              <w:right w:type="dxa" w:w="240"/>
            </w:tcMar>
          </w:tcPr>
          <w:p>
            <w:pPr>
              <w:tabs>
                <w:tab w:val="right" w:pos="9160"/>
              </w:tabs>
              <w:spacing w:after="0" w:before="0" w:line="276"/>
            </w:pPr>
            <w:r>
              <w:rPr>
                <w:rFonts w:ascii="Arial" w:cs="Arial" w:eastAsia="Arial" w:hAnsi="Arial"/>
                <w:b/>
                <w:bCs/>
                <w:color w:val="FFFFFF"/>
                <w:sz w:val="22"/>
                <w:szCs w:val="22"/>
              </w:rPr>
              <w:t xml:space="preserve">Section 16</w:t>
            </w:r>
            <w:r>
              <w:rPr>
                <w:rFonts w:ascii="Arial" w:cs="Arial" w:eastAsia="Arial" w:hAnsi="Arial"/>
                <w:b/>
                <w:bCs/>
                <w:color w:val="FFFFFF"/>
                <w:sz w:val="18"/>
                <w:szCs w:val="18"/>
              </w:rPr>
              <w:t xml:space="preserve">	PART B · SECOND-YEAR UNDERGRADUATE LEVEL</w:t>
            </w:r>
          </w:p>
          <w:p>
            <w:pPr>
              <w:spacing w:after="40" w:before="40" w:line="276"/>
            </w:pPr>
            <w:r>
              <w:rPr>
                <w:rFonts w:ascii="Arial" w:cs="Arial" w:eastAsia="Arial" w:hAnsi="Arial"/>
                <w:b/>
                <w:bCs/>
                <w:color w:val="FFFFFF"/>
                <w:sz w:val="32"/>
                <w:szCs w:val="32"/>
              </w:rPr>
              <w:t xml:space="preserve">Frontiers: what 'aromatic' means today</w:t>
            </w:r>
          </w:p>
          <w:p>
            <w:pPr>
              <w:spacing w:after="0" w:before="0" w:line="276"/>
            </w:pPr>
            <w:r>
              <w:rPr>
                <w:rFonts w:ascii="Arial" w:cs="Arial" w:eastAsia="Arial" w:hAnsi="Arial"/>
                <w:i/>
                <w:iCs/>
                <w:color w:val="F5F3FF"/>
                <w:sz w:val="21"/>
                <w:szCs w:val="21"/>
              </w:rPr>
              <w:t xml:space="preserve">Magnetic criteria, Möbius rings, polycyclic sextets and graphene — where the idea Kekulé started has ended up.</w:t>
            </w:r>
          </w:p>
        </w:tc>
      </w:tr>
    </w:tbl>
    <w:p>
      <w:pPr>
        <w:spacing w:after="40" w:before="0" w:line="276"/>
      </w:pPr>
      <w:r>
        <w:rPr>
          <w:rFonts w:ascii="Arial" w:cs="Arial" w:eastAsia="Arial" w:hAnsi="Arial"/>
          <w:color w:val="1F2937"/>
          <w:sz w:val="22"/>
          <w:szCs w:val="22"/>
        </w:rPr>
        <w:t xml:space="preserve"> </w:t>
      </w:r>
    </w:p>
    <w:tbl>
      <w:tblPr>
        <w:tblW w:type="dxa" w:w="9640"/>
        <w:tblBorders>
          <w:top w:val="single" w:color="14B8A6" w:sz="8"/>
          <w:left w:val="single" w:color="14B8A6" w:sz="8"/>
          <w:bottom w:val="single" w:color="14B8A6" w:sz="8"/>
          <w:right w:val="single" w:color="14B8A6" w:sz="8"/>
          <w:insideH w:val="single" w:color="14B8A6" w:sz="8"/>
          <w:insideV w:val="single" w:color="14B8A6" w:sz="8"/>
        </w:tblBorders>
      </w:tblPr>
      <w:tblGrid>
        <w:gridCol w:w="9640"/>
      </w:tblGrid>
      <w:tr>
        <w:trPr>
          <w:cantSplit/>
        </w:trPr>
        <w:tc>
          <w:tcPr>
            <w:tcW w:type="dxa" w:w="9640"/>
            <w:shd w:fill="CCFBF1" w:color="auto" w:val="clear"/>
            <w:tcMar>
              <w:top w:type="dxa" w:w="100"/>
              <w:left w:type="dxa" w:w="160"/>
              <w:bottom w:type="dxa" w:w="100"/>
              <w:right w:type="dxa" w:w="160"/>
            </w:tcMar>
          </w:tcPr>
          <w:p>
            <w:pPr>
              <w:spacing w:after="40" w:before="0" w:line="276"/>
            </w:pPr>
            <w:r>
              <w:rPr>
                <w:rFonts w:ascii="Arial" w:cs="Arial" w:eastAsia="Arial" w:hAnsi="Arial"/>
                <w:b/>
                <w:bCs/>
                <w:color w:val="0F766E"/>
                <w:sz w:val="22"/>
                <w:szCs w:val="22"/>
              </w:rPr>
              <w:t xml:space="preserve">Key facts</w:t>
            </w:r>
          </w:p>
          <w:p>
            <w:pPr>
              <w:spacing w:after="20" w:before="20" w:line="276"/>
            </w:pPr>
            <w:r>
              <w:rPr>
                <w:rFonts w:ascii="Arial" w:cs="Arial" w:eastAsia="Arial" w:hAnsi="Arial"/>
                <w:color w:val="1F2937"/>
                <w:sz w:val="21"/>
                <w:szCs w:val="21"/>
              </w:rPr>
              <w:t xml:space="preserve">•  Magnetic criterion — NICS (nucleus-independent chemical shift, Schleyer 1996): compute the NMR shielding at the ring centre. Aromatic rings give negative NICS (benzene −9.7 ppm), antiaromatic rings positive (cyclobutadiene +27.6), non-aromatic ≈ 0 (tub cyclooctatetraene). NICS turned aromaticity from a chemist's judgement into a number.</w:t>
            </w:r>
          </w:p>
          <w:p>
            <w:pPr>
              <w:spacing w:after="20" w:before="20" w:line="276"/>
            </w:pPr>
            <w:r>
              <w:rPr>
                <w:rFonts w:ascii="Arial" w:cs="Arial" w:eastAsia="Arial" w:hAnsi="Arial"/>
                <w:color w:val="1F2937"/>
                <w:sz w:val="21"/>
                <w:szCs w:val="21"/>
              </w:rPr>
              <w:t xml:space="preserve">•  Möbius aromaticity (Heilbronner 1964, prediction; Herges 2003, first synthesis): give a ring one half-twist so the p-orbital array has a phase inversion, and the rules swap — 4n π electrons become aromatic, 4n + 2 antiaromatic.</w:t>
            </w:r>
          </w:p>
          <w:p>
            <w:pPr>
              <w:spacing w:after="20" w:before="20" w:line="276"/>
            </w:pPr>
            <w:r>
              <w:rPr>
                <w:rFonts w:ascii="Arial" w:cs="Arial" w:eastAsia="Arial" w:hAnsi="Arial"/>
                <w:color w:val="1F2937"/>
                <w:sz w:val="21"/>
                <w:szCs w:val="21"/>
              </w:rPr>
              <w:t xml:space="preserve">•  Clar's rule (1972): for a polycyclic aromatic hydrocarbon, the dominant structure is the one with the largest number of DISJOINT aromatic sextets (drawn as circles). Anthracene has ONE sextet (three ways to place it); phenanthrene has TWO. Phenanthrene is more stable than anthracene by ≈ 25 kJ mol⁻¹, and anthracene reacts at C9/C10 by addition (bromine, Diels–Alder) because doing so converts one sextet into two.</w:t>
            </w:r>
          </w:p>
          <w:p>
            <w:pPr>
              <w:spacing w:after="20" w:before="20" w:line="276"/>
            </w:pPr>
            <w:r>
              <w:rPr>
                <w:rFonts w:ascii="Arial" w:cs="Arial" w:eastAsia="Arial" w:hAnsi="Arial"/>
                <w:color w:val="1F2937"/>
                <w:sz w:val="21"/>
                <w:szCs w:val="21"/>
              </w:rPr>
              <w:t xml:space="preserve">•  Kekulé structure counting: naphthalene 3, anthracene 4, phenanthrene 5. In naphthalene the C1–C2 bond is double in 2 of 3 structures (0.137 nm) while C2–C3 is double in only 1 (0.142 nm) — resonance theory predicts the measured bond alternation.</w:t>
            </w:r>
          </w:p>
          <w:p>
            <w:pPr>
              <w:spacing w:after="20" w:before="20" w:line="276"/>
            </w:pPr>
            <w:r>
              <w:rPr>
                <w:rFonts w:ascii="Arial" w:cs="Arial" w:eastAsia="Arial" w:hAnsi="Arial"/>
                <w:color w:val="1F2937"/>
                <w:sz w:val="21"/>
                <w:szCs w:val="21"/>
              </w:rPr>
              <w:t xml:space="preserve">•  Graphene is an 'infinite' polycyclic aromatic; nanographenes with hundreds of rings are now synthesised by cyclodehydrogenation of polyphenylenes (Müllen), with properties tuned by the edge structure — Clar's rule still predicts which edges are reactive.</w:t>
            </w:r>
          </w:p>
          <w:p>
            <w:pPr>
              <w:spacing w:after="20" w:before="20" w:line="276"/>
            </w:pPr>
            <w:r>
              <w:rPr>
                <w:rFonts w:ascii="Arial" w:cs="Arial" w:eastAsia="Arial" w:hAnsi="Arial"/>
                <w:color w:val="1F2937"/>
                <w:sz w:val="21"/>
                <w:szCs w:val="21"/>
              </w:rPr>
              <w:t xml:space="preserve">•  Antiaromatic intermediates: the cyclopentadienyl CATION (4 π) is so destabilised that it is a triplet ground state and has never been isolated as a simple salt; the parent cyclobutadiene dianion has resisted isolation too. These are the exceptions that make the rule.</w:t>
            </w:r>
          </w:p>
        </w:tc>
      </w:tr>
    </w:tbl>
    <w:p>
      <w:pPr>
        <w:keepNext/>
        <w:spacing w:after="40" w:before="200"/>
      </w:pPr>
      <w:r>
        <w:rPr>
          <w:rFonts w:ascii="Arial" w:cs="Arial" w:eastAsia="Arial" w:hAnsi="Arial"/>
          <w:b/>
          <w:bCs/>
          <w:color w:val="312E81"/>
          <w:sz w:val="22"/>
          <w:szCs w:val="22"/>
        </w:rPr>
        <w:t xml:space="preserve">16.1  </w:t>
      </w:r>
      <w:r>
        <w:rPr>
          <w:rFonts w:ascii="Arial" w:cs="Arial" w:eastAsia="Arial" w:hAnsi="Arial"/>
          <w:color w:val="1F2937"/>
          <w:sz w:val="22"/>
          <w:szCs w:val="22"/>
        </w:rPr>
        <w:t xml:space="preserve">Anthracene and phenanthrene are both C₁₄H₁₀. Use Clar's rule to explain (a) why anthracene is the less stable isomer, and (b) why anthracene readily undergoes bromine ADDITION across C9–C10 whereas phenanthrene undergoes substitution.</w:t>
      </w:r>
      <w:r>
        <w:rPr>
          <w:rFonts w:ascii="Arial" w:cs="Arial" w:eastAsia="Arial" w:hAnsi="Arial"/>
          <w:b/>
          <w:bCs/>
          <w:color w:val="D97706"/>
          <w:sz w:val="20"/>
          <w:szCs w:val="20"/>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val="false"/>
        <w:pBdr>
          <w:bottom w:val="single" w:color="A1A1AB" w:sz="4" w:space="1"/>
        </w:pBdr>
        <w:spacing w:after="0" w:before="0" w:line="420"/>
      </w:pPr>
      <w:r>
        <w:rPr>
          <w:rFonts w:ascii="Arial" w:cs="Arial" w:eastAsia="Arial" w:hAnsi="Arial"/>
          <w:color w:val="1F2937"/>
          <w:sz w:val="22"/>
          <w:szCs w:val="22"/>
        </w:rPr>
        <w:t xml:space="preserve"> </w:t>
      </w:r>
    </w:p>
    <w:p>
      <w:pPr>
        <w:spacing w:after="40" w:before="0" w:line="276"/>
      </w:pPr>
      <w:r>
        <w:rPr>
          <w:rFonts w:ascii="Arial" w:cs="Arial" w:eastAsia="Arial" w:hAnsi="Arial"/>
          <w:color w:val="1F2937"/>
          <w:sz w:val="22"/>
          <w:szCs w:val="22"/>
        </w:rPr>
        <w:t xml:space="preserve"> </w:t>
      </w:r>
    </w:p>
    <w:p>
      <w:pPr>
        <w:keepNext/>
        <w:spacing w:after="40" w:before="200"/>
      </w:pPr>
      <w:r>
        <w:rPr>
          <w:rFonts w:ascii="Arial" w:cs="Arial" w:eastAsia="Arial" w:hAnsi="Arial"/>
          <w:b/>
          <w:bCs/>
          <w:color w:val="312E81"/>
          <w:sz w:val="22"/>
          <w:szCs w:val="22"/>
        </w:rPr>
        <w:t xml:space="preserve">16.2  </w:t>
      </w:r>
      <w:r>
        <w:rPr>
          <w:rFonts w:ascii="Arial" w:cs="Arial" w:eastAsia="Arial" w:hAnsi="Arial"/>
          <w:color w:val="1F2937"/>
          <w:sz w:val="22"/>
          <w:szCs w:val="22"/>
        </w:rPr>
        <w:t xml:space="preserve">Draw the three Kekulé structures of naphthalene. Use them to predict the order of bond lengths C1–C2, C2–C3 and C4a–C8a (the central bond), and compare with the experimental values 0.137, 0.142 and 0.142 nm.</w:t>
      </w:r>
      <w:r>
        <w:rPr>
          <w:rFonts w:ascii="Arial" w:cs="Arial" w:eastAsia="Arial" w:hAnsi="Arial"/>
          <w:b/>
          <w:bCs/>
          <w:color w:val="D97706"/>
          <w:sz w:val="20"/>
          <w:szCs w:val="20"/>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val="false"/>
        <w:pBdr>
          <w:bottom w:val="single" w:color="A1A1AB" w:sz="4" w:space="1"/>
        </w:pBdr>
        <w:spacing w:after="0" w:before="0" w:line="420"/>
      </w:pPr>
      <w:r>
        <w:rPr>
          <w:rFonts w:ascii="Arial" w:cs="Arial" w:eastAsia="Arial" w:hAnsi="Arial"/>
          <w:color w:val="1F2937"/>
          <w:sz w:val="22"/>
          <w:szCs w:val="22"/>
        </w:rPr>
        <w:t xml:space="preserve"> </w:t>
      </w:r>
    </w:p>
    <w:p>
      <w:pPr>
        <w:spacing w:after="40" w:before="0" w:line="276"/>
      </w:pPr>
      <w:r>
        <w:rPr>
          <w:rFonts w:ascii="Arial" w:cs="Arial" w:eastAsia="Arial" w:hAnsi="Arial"/>
          <w:color w:val="1F2937"/>
          <w:sz w:val="22"/>
          <w:szCs w:val="22"/>
        </w:rPr>
        <w:t xml:space="preserve"> </w:t>
      </w:r>
    </w:p>
    <w:p>
      <w:pPr>
        <w:keepNext/>
        <w:spacing w:after="40" w:before="200"/>
      </w:pPr>
      <w:r>
        <w:rPr>
          <w:rFonts w:ascii="Arial" w:cs="Arial" w:eastAsia="Arial" w:hAnsi="Arial"/>
          <w:b/>
          <w:bCs/>
          <w:color w:val="312E81"/>
          <w:sz w:val="22"/>
          <w:szCs w:val="22"/>
        </w:rPr>
        <w:t xml:space="preserve">16.3  </w:t>
      </w:r>
      <w:r>
        <w:rPr>
          <w:rFonts w:ascii="Arial" w:cs="Arial" w:eastAsia="Arial" w:hAnsi="Arial"/>
          <w:color w:val="1F2937"/>
          <w:sz w:val="22"/>
          <w:szCs w:val="22"/>
        </w:rPr>
        <w:t xml:space="preserve">Sketch how a Möbius [4n]annulene can be aromatic. What experimental observations would you use to decide whether a newly made twisted annulene is aromatic?</w:t>
      </w:r>
      <w:r>
        <w:rPr>
          <w:rFonts w:ascii="Arial" w:cs="Arial" w:eastAsia="Arial" w:hAnsi="Arial"/>
          <w:b/>
          <w:bCs/>
          <w:color w:val="D97706"/>
          <w:sz w:val="20"/>
          <w:szCs w:val="20"/>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val="false"/>
        <w:pBdr>
          <w:bottom w:val="single" w:color="A1A1AA" w:sz="4" w:space="1"/>
        </w:pBdr>
        <w:spacing w:after="0" w:before="0" w:line="420"/>
      </w:pPr>
      <w:r>
        <w:rPr>
          <w:rFonts w:ascii="Arial" w:cs="Arial" w:eastAsia="Arial" w:hAnsi="Arial"/>
          <w:color w:val="1F2937"/>
          <w:sz w:val="22"/>
          <w:szCs w:val="22"/>
        </w:rPr>
        <w:t xml:space="preserve"> </w:t>
      </w:r>
    </w:p>
    <w:p>
      <w:pPr>
        <w:spacing w:after="40" w:before="0" w:line="276"/>
      </w:pPr>
      <w:r>
        <w:rPr>
          <w:rFonts w:ascii="Arial" w:cs="Arial" w:eastAsia="Arial" w:hAnsi="Arial"/>
          <w:color w:val="1F2937"/>
          <w:sz w:val="22"/>
          <w:szCs w:val="22"/>
        </w:rPr>
        <w:t xml:space="preserve"> </w:t>
      </w:r>
    </w:p>
    <w:p>
      <w:pPr>
        <w:keepNext/>
        <w:spacing w:after="40" w:before="200"/>
      </w:pPr>
      <w:r>
        <w:rPr>
          <w:rFonts w:ascii="Arial" w:cs="Arial" w:eastAsia="Arial" w:hAnsi="Arial"/>
          <w:b/>
          <w:bCs/>
          <w:color w:val="312E81"/>
          <w:sz w:val="22"/>
          <w:szCs w:val="22"/>
        </w:rPr>
        <w:t xml:space="preserve">16.4  </w:t>
      </w:r>
      <w:r>
        <w:rPr>
          <w:rFonts w:ascii="Arial" w:cs="Arial" w:eastAsia="Arial" w:hAnsi="Arial"/>
          <w:color w:val="1F2937"/>
          <w:sz w:val="22"/>
          <w:szCs w:val="22"/>
        </w:rPr>
        <w:t xml:space="preserve">The Hammett plot for a reaction is a straight line for meta substituents but shows strongly negative deviations for para +M substituents. A colleague proposes that this proves a cationic intermediate. Evaluate the claim and design one further experiment.</w:t>
      </w:r>
      <w:r>
        <w:rPr>
          <w:rFonts w:ascii="Arial" w:cs="Arial" w:eastAsia="Arial" w:hAnsi="Arial"/>
          <w:b/>
          <w:bCs/>
          <w:color w:val="D97706"/>
          <w:sz w:val="20"/>
          <w:szCs w:val="20"/>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val="false"/>
        <w:pBdr>
          <w:bottom w:val="single" w:color="A1A1AA" w:sz="4" w:space="1"/>
        </w:pBdr>
        <w:spacing w:after="0" w:before="0" w:line="420"/>
      </w:pPr>
      <w:r>
        <w:rPr>
          <w:rFonts w:ascii="Arial" w:cs="Arial" w:eastAsia="Arial" w:hAnsi="Arial"/>
          <w:color w:val="1F2937"/>
          <w:sz w:val="22"/>
          <w:szCs w:val="22"/>
        </w:rPr>
        <w:t xml:space="preserve"> </w:t>
      </w:r>
    </w:p>
    <w:p>
      <w:pPr>
        <w:spacing w:after="40" w:before="0" w:line="276"/>
      </w:pPr>
      <w:r>
        <w:rPr>
          <w:rFonts w:ascii="Arial" w:cs="Arial" w:eastAsia="Arial" w:hAnsi="Arial"/>
          <w:color w:val="1F2937"/>
          <w:sz w:val="22"/>
          <w:szCs w:val="22"/>
        </w:rPr>
        <w:t xml:space="preserve"> </w:t>
      </w:r>
    </w:p>
    <w:tbl>
      <w:tblPr>
        <w:tblW w:type="dxa" w:w="9640"/>
        <w:tblBorders>
          <w:top w:val="single" w:color="CBD5E1" w:sz="8"/>
          <w:left w:val="single" w:color="CBD5E1" w:sz="8"/>
          <w:bottom w:val="single" w:color="CBD5E1" w:sz="8"/>
          <w:right w:val="single" w:color="CBD5E1" w:sz="8"/>
          <w:insideH w:val="single" w:color="CBD5E1" w:sz="8"/>
          <w:insideV w:val="single" w:color="CBD5E1" w:sz="8"/>
        </w:tblBorders>
      </w:tblPr>
      <w:tblGrid>
        <w:gridCol w:w="9640"/>
      </w:tblGrid>
      <w:tr>
        <w:trPr>
          <w:cantSplit/>
        </w:trPr>
        <w:tc>
          <w:tcPr>
            <w:tcW w:type="dxa" w:w="9640"/>
            <w:shd w:fill="F8FAFC" w:color="auto" w:val="clear"/>
            <w:tcMar>
              <w:top w:type="dxa" w:w="100"/>
              <w:left w:type="dxa" w:w="160"/>
              <w:bottom w:type="dxa" w:w="100"/>
              <w:right w:type="dxa" w:w="160"/>
            </w:tcMar>
          </w:tcPr>
          <w:p>
            <w:pPr>
              <w:spacing w:after="40" w:before="0" w:line="276"/>
            </w:pPr>
            <w:r>
              <w:rPr>
                <w:rFonts w:ascii="Arial" w:cs="Arial" w:eastAsia="Arial" w:hAnsi="Arial"/>
                <w:b/>
                <w:bCs/>
                <w:color w:val="312E81"/>
                <w:sz w:val="20"/>
                <w:szCs w:val="20"/>
              </w:rPr>
              <w:t xml:space="preserve">Reading for this section</w:t>
            </w:r>
          </w:p>
          <w:p>
            <w:pPr>
              <w:spacing w:after="20" w:before="20" w:line="276"/>
              <w:ind w:left="200" w:hanging="200"/>
            </w:pPr>
            <w:r>
              <w:rPr>
                <w:rFonts w:ascii="Arial" w:cs="Arial" w:eastAsia="Arial" w:hAnsi="Arial"/>
                <w:b/>
                <w:bCs/>
                <w:color w:val="312E81"/>
                <w:sz w:val="19"/>
                <w:szCs w:val="19"/>
              </w:rPr>
              <w:t xml:space="preserve">▸ </w:t>
            </w:r>
            <w:r>
              <w:rPr>
                <w:rFonts w:ascii="Arial" w:cs="Arial" w:eastAsia="Arial" w:hAnsi="Arial"/>
                <w:color w:val="1F2937"/>
                <w:sz w:val="19"/>
                <w:szCs w:val="19"/>
              </w:rPr>
              <w:t xml:space="preserve">P. v. R. Schleyer et al., J. Am. Chem. Soc. 1996, 118, 6317</w:t>
            </w:r>
            <w:r>
              <w:rPr>
                <w:rFonts w:ascii="Arial" w:cs="Arial" w:eastAsia="Arial" w:hAnsi="Arial"/>
                <w:i/>
                <w:iCs/>
                <w:color w:val="4B5563"/>
                <w:sz w:val="19"/>
                <w:szCs w:val="19"/>
              </w:rPr>
              <w:t xml:space="preserve">  —  the NICS paper</w:t>
            </w:r>
          </w:p>
          <w:p>
            <w:pPr>
              <w:spacing w:after="20" w:before="20" w:line="276"/>
              <w:ind w:left="200" w:hanging="200"/>
            </w:pPr>
            <w:r>
              <w:rPr>
                <w:rFonts w:ascii="Arial" w:cs="Arial" w:eastAsia="Arial" w:hAnsi="Arial"/>
                <w:b/>
                <w:bCs/>
                <w:color w:val="312E81"/>
                <w:sz w:val="19"/>
                <w:szCs w:val="19"/>
              </w:rPr>
              <w:t xml:space="preserve">▸ </w:t>
            </w:r>
            <w:r>
              <w:rPr>
                <w:rFonts w:ascii="Arial" w:cs="Arial" w:eastAsia="Arial" w:hAnsi="Arial"/>
                <w:color w:val="1F2937"/>
                <w:sz w:val="19"/>
                <w:szCs w:val="19"/>
              </w:rPr>
              <w:t xml:space="preserve">D. Ajami, O. Oeckler, A. Simon &amp; R. Herges, Nature 2003, 426, 819</w:t>
            </w:r>
            <w:r>
              <w:rPr>
                <w:rFonts w:ascii="Arial" w:cs="Arial" w:eastAsia="Arial" w:hAnsi="Arial"/>
                <w:i/>
                <w:iCs/>
                <w:color w:val="4B5563"/>
                <w:sz w:val="19"/>
                <w:szCs w:val="19"/>
              </w:rPr>
              <w:t xml:space="preserve">  —  the first Möbius aromatic hydrocarbon</w:t>
            </w:r>
          </w:p>
          <w:p>
            <w:pPr>
              <w:spacing w:after="20" w:before="20" w:line="276"/>
              <w:ind w:left="200" w:hanging="200"/>
            </w:pPr>
            <w:r>
              <w:rPr>
                <w:rFonts w:ascii="Arial" w:cs="Arial" w:eastAsia="Arial" w:hAnsi="Arial"/>
                <w:b/>
                <w:bCs/>
                <w:color w:val="312E81"/>
                <w:sz w:val="19"/>
                <w:szCs w:val="19"/>
              </w:rPr>
              <w:t xml:space="preserve">▸ </w:t>
            </w:r>
            <w:r>
              <w:rPr>
                <w:rFonts w:ascii="Arial" w:cs="Arial" w:eastAsia="Arial" w:hAnsi="Arial"/>
                <w:color w:val="1F2937"/>
                <w:sz w:val="19"/>
                <w:szCs w:val="19"/>
              </w:rPr>
              <w:t xml:space="preserve">E. Clar, The Aromatic Sextet (Wiley, 1972)</w:t>
            </w:r>
            <w:r>
              <w:rPr>
                <w:rFonts w:ascii="Arial" w:cs="Arial" w:eastAsia="Arial" w:hAnsi="Arial"/>
                <w:i/>
                <w:iCs/>
                <w:color w:val="4B5563"/>
                <w:sz w:val="19"/>
                <w:szCs w:val="19"/>
              </w:rPr>
              <w:t xml:space="preserve">  —  short, visual, and still the best way to think about polycyclic aromatics</w:t>
            </w:r>
          </w:p>
          <w:p>
            <w:pPr>
              <w:spacing w:after="20" w:before="20" w:line="276"/>
              <w:ind w:left="200" w:hanging="200"/>
            </w:pPr>
            <w:r>
              <w:rPr>
                <w:rFonts w:ascii="Arial" w:cs="Arial" w:eastAsia="Arial" w:hAnsi="Arial"/>
                <w:b/>
                <w:bCs/>
                <w:color w:val="312E81"/>
                <w:sz w:val="19"/>
                <w:szCs w:val="19"/>
              </w:rPr>
              <w:t xml:space="preserve">▸ </w:t>
            </w:r>
            <w:r>
              <w:rPr>
                <w:rFonts w:ascii="Arial" w:cs="Arial" w:eastAsia="Arial" w:hAnsi="Arial"/>
                <w:color w:val="1F2937"/>
                <w:sz w:val="19"/>
                <w:szCs w:val="19"/>
              </w:rPr>
              <w:t xml:space="preserve">R. Hoffmann, 'Aromaticity' (essay in Foundations of Chemistry / American Scientist columns)</w:t>
            </w:r>
            <w:r>
              <w:rPr>
                <w:rFonts w:ascii="Arial" w:cs="Arial" w:eastAsia="Arial" w:hAnsi="Arial"/>
                <w:i/>
                <w:iCs/>
                <w:color w:val="4B5563"/>
                <w:sz w:val="19"/>
                <w:szCs w:val="19"/>
              </w:rPr>
              <w:t xml:space="preserve">  —  what the word means, by a Nobel laureate who writes beautifully</w:t>
            </w:r>
          </w:p>
          <w:p>
            <w:pPr>
              <w:spacing w:after="20" w:before="20" w:line="276"/>
              <w:ind w:left="200" w:hanging="200"/>
            </w:pPr>
            <w:r>
              <w:rPr>
                <w:rFonts w:ascii="Arial" w:cs="Arial" w:eastAsia="Arial" w:hAnsi="Arial"/>
                <w:b/>
                <w:bCs/>
                <w:color w:val="312E81"/>
                <w:sz w:val="19"/>
                <w:szCs w:val="19"/>
              </w:rPr>
              <w:t xml:space="preserve">▸ </w:t>
            </w:r>
            <w:r>
              <w:rPr>
                <w:rFonts w:ascii="Arial" w:cs="Arial" w:eastAsia="Arial" w:hAnsi="Arial"/>
                <w:color w:val="1F2937"/>
                <w:sz w:val="19"/>
                <w:szCs w:val="19"/>
              </w:rPr>
              <w:t xml:space="preserve">A. Narita, X.-Y. Wang, X. Feng &amp; K. Müllen, Chem. Soc. Rev. 2015, 44, 6616</w:t>
            </w:r>
            <w:r>
              <w:rPr>
                <w:rFonts w:ascii="Arial" w:cs="Arial" w:eastAsia="Arial" w:hAnsi="Arial"/>
                <w:i/>
                <w:iCs/>
                <w:color w:val="4B5563"/>
                <w:sz w:val="19"/>
                <w:szCs w:val="19"/>
              </w:rPr>
              <w:t xml:space="preserve">  —  nanographenes — Clar's rule on a 100-ring scale</w:t>
            </w:r>
          </w:p>
        </w:tc>
      </w:tr>
    </w:tbl>
    <w:p>
      <w:pPr>
        <w:spacing w:after="40" w:before="0" w:line="276"/>
      </w:pPr>
      <w:r>
        <w:rPr>
          <w:rFonts w:ascii="Arial" w:cs="Arial" w:eastAsia="Arial" w:hAnsi="Arial"/>
          <w:color w:val="1F2937"/>
          <w:sz w:val="22"/>
          <w:szCs w:val="22"/>
        </w:rPr>
        <w:t xml:space="preserve"> </w:t>
      </w:r>
    </w:p>
    <w:p>
      <w:pPr>
        <w:pageBreakBefore/>
        <w:spacing w:after="0" w:before="0" w:line="20"/>
      </w:pPr>
      <w:r>
        <w:rPr>
          <w:sz w:val="2"/>
          <w:szCs w:val="2"/>
        </w:rPr>
        <w:t xml:space="preserve"/>
      </w:r>
    </w:p>
    <w:tbl>
      <w:tblPr>
        <w:tblW w:type="dxa" w:w="9640"/>
        <w:tblBorders>
          <w:top w:val="none" w:color="FFFFFF" w:sz="0"/>
          <w:left w:val="none" w:color="FFFFFF" w:sz="0"/>
          <w:bottom w:val="none" w:color="FFFFFF" w:sz="0"/>
          <w:right w:val="none" w:color="FFFFFF" w:sz="0"/>
          <w:insideH w:val="none" w:color="FFFFFF" w:sz="0"/>
          <w:insideV w:val="none" w:color="FFFFFF" w:sz="0"/>
        </w:tblBorders>
      </w:tblPr>
      <w:tblGrid>
        <w:gridCol w:w="9640"/>
      </w:tblGrid>
      <w:tr>
        <w:trPr>
          <w:cantSplit/>
        </w:trPr>
        <w:tc>
          <w:tcPr>
            <w:tcW w:type="dxa" w:w="9640"/>
            <w:shd w:fill="BE123C" w:color="auto" w:val="clear"/>
            <w:tcMar>
              <w:top w:type="dxa" w:w="160"/>
              <w:left w:type="dxa" w:w="240"/>
              <w:bottom w:type="dxa" w:w="160"/>
              <w:right w:type="dxa" w:w="240"/>
            </w:tcMar>
          </w:tcPr>
          <w:p>
            <w:pPr>
              <w:tabs>
                <w:tab w:val="right" w:pos="9160"/>
              </w:tabs>
              <w:spacing w:after="0" w:before="0" w:line="276"/>
            </w:pPr>
            <w:r>
              <w:rPr>
                <w:rFonts w:ascii="Arial" w:cs="Arial" w:eastAsia="Arial" w:hAnsi="Arial"/>
                <w:b/>
                <w:bCs/>
                <w:color w:val="FFFFFF"/>
                <w:sz w:val="22"/>
                <w:szCs w:val="22"/>
              </w:rPr>
              <w:t xml:space="preserve">Section 17</w:t>
            </w:r>
            <w:r>
              <w:rPr>
                <w:rFonts w:ascii="Arial" w:cs="Arial" w:eastAsia="Arial" w:hAnsi="Arial"/>
                <w:b/>
                <w:bCs/>
                <w:color w:val="FFFFFF"/>
                <w:sz w:val="18"/>
                <w:szCs w:val="18"/>
              </w:rPr>
              <w:t xml:space="preserve">	MIXED LEVEL — COMBINES PARTS A AND B</w:t>
            </w:r>
          </w:p>
          <w:p>
            <w:pPr>
              <w:spacing w:after="40" w:before="40" w:line="276"/>
            </w:pPr>
            <w:r>
              <w:rPr>
                <w:rFonts w:ascii="Arial" w:cs="Arial" w:eastAsia="Arial" w:hAnsi="Arial"/>
                <w:b/>
                <w:bCs/>
                <w:color w:val="FFFFFF"/>
                <w:sz w:val="32"/>
                <w:szCs w:val="32"/>
              </w:rPr>
              <w:t xml:space="preserve">Challenge problems</w:t>
            </w:r>
          </w:p>
          <w:p>
            <w:pPr>
              <w:spacing w:after="0" w:before="0" w:line="276"/>
            </w:pPr>
            <w:r>
              <w:rPr>
                <w:rFonts w:ascii="Arial" w:cs="Arial" w:eastAsia="Arial" w:hAnsi="Arial"/>
                <w:i/>
                <w:iCs/>
                <w:color w:val="F5F3FF"/>
                <w:sz w:val="21"/>
                <w:szCs w:val="21"/>
              </w:rPr>
              <w:t xml:space="preserve">Mixed problems that combine ideas from both parts. ★ Year 1, ★★ Year 2, ★★★ open-ended. Worked answers at the back.</w:t>
            </w:r>
          </w:p>
        </w:tc>
      </w:tr>
    </w:tbl>
    <w:p>
      <w:pPr>
        <w:spacing w:after="40" w:before="0" w:line="276"/>
      </w:pPr>
      <w:r>
        <w:rPr>
          <w:rFonts w:ascii="Arial" w:cs="Arial" w:eastAsia="Arial" w:hAnsi="Arial"/>
          <w:color w:val="1F2937"/>
          <w:sz w:val="22"/>
          <w:szCs w:val="22"/>
        </w:rPr>
        <w:t xml:space="preserve"> </w:t>
      </w:r>
    </w:p>
    <w:p>
      <w:pPr>
        <w:keepNext/>
        <w:spacing w:after="40" w:before="200"/>
      </w:pPr>
      <w:r>
        <w:rPr>
          <w:rFonts w:ascii="Arial" w:cs="Arial" w:eastAsia="Arial" w:hAnsi="Arial"/>
          <w:b/>
          <w:bCs/>
          <w:color w:val="BE123C"/>
          <w:sz w:val="22"/>
          <w:szCs w:val="22"/>
        </w:rPr>
        <w:t xml:space="preserve">C1  </w:t>
      </w:r>
      <w:r>
        <w:rPr>
          <w:rFonts w:ascii="Arial" w:cs="Arial" w:eastAsia="Arial" w:hAnsi="Arial"/>
          <w:color w:val="1F2937"/>
          <w:sz w:val="22"/>
          <w:szCs w:val="22"/>
        </w:rPr>
        <w:t xml:space="preserve">Naphthalene is nitrated almost exclusively at C1 (the 'α' position) rather than C2. Draw the resonance forms of the intermediates for attack at C1 and at C2, and explain the selectivity.</w:t>
      </w:r>
      <w:r>
        <w:rPr>
          <w:rFonts w:ascii="Arial" w:cs="Arial" w:eastAsia="Arial" w:hAnsi="Arial"/>
          <w:b/>
          <w:bCs/>
          <w:color w:val="D97706"/>
          <w:sz w:val="20"/>
          <w:szCs w:val="20"/>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val="false"/>
        <w:pBdr>
          <w:bottom w:val="single" w:color="A1A1AB" w:sz="4" w:space="1"/>
        </w:pBdr>
        <w:spacing w:after="0" w:before="0" w:line="420"/>
      </w:pPr>
      <w:r>
        <w:rPr>
          <w:rFonts w:ascii="Arial" w:cs="Arial" w:eastAsia="Arial" w:hAnsi="Arial"/>
          <w:color w:val="1F2937"/>
          <w:sz w:val="22"/>
          <w:szCs w:val="22"/>
        </w:rPr>
        <w:t xml:space="preserve"> </w:t>
      </w:r>
    </w:p>
    <w:p>
      <w:pPr>
        <w:spacing w:after="40" w:before="0" w:line="276"/>
      </w:pPr>
      <w:r>
        <w:rPr>
          <w:rFonts w:ascii="Arial" w:cs="Arial" w:eastAsia="Arial" w:hAnsi="Arial"/>
          <w:color w:val="1F2937"/>
          <w:sz w:val="22"/>
          <w:szCs w:val="22"/>
        </w:rPr>
        <w:t xml:space="preserve"> </w:t>
      </w:r>
    </w:p>
    <w:p>
      <w:pPr>
        <w:keepNext/>
        <w:spacing w:after="40" w:before="200"/>
      </w:pPr>
      <w:r>
        <w:rPr>
          <w:rFonts w:ascii="Arial" w:cs="Arial" w:eastAsia="Arial" w:hAnsi="Arial"/>
          <w:b/>
          <w:bCs/>
          <w:color w:val="BE123C"/>
          <w:sz w:val="22"/>
          <w:szCs w:val="22"/>
        </w:rPr>
        <w:t xml:space="preserve">C2  </w:t>
      </w:r>
      <w:r>
        <w:rPr>
          <w:rFonts w:ascii="Arial" w:cs="Arial" w:eastAsia="Arial" w:hAnsi="Arial"/>
          <w:color w:val="1F2937"/>
          <w:sz w:val="22"/>
          <w:szCs w:val="22"/>
        </w:rPr>
        <w:t xml:space="preserve">Design a synthesis of 4-nitrobenzoic acid from benzene in three steps. (You may use: CH₃Cl/AlCl₃; HNO₃/H₂SO₄; KMnO₄/H⁺, reflux, which oxidises an alkyl side chain to –COOH.)</w:t>
      </w:r>
      <w:r>
        <w:rPr>
          <w:rFonts w:ascii="Arial" w:cs="Arial" w:eastAsia="Arial" w:hAnsi="Arial"/>
          <w:b/>
          <w:bCs/>
          <w:color w:val="D97706"/>
          <w:sz w:val="20"/>
          <w:szCs w:val="20"/>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val="false"/>
        <w:pBdr>
          <w:bottom w:val="single" w:color="A1A1AB" w:sz="4" w:space="1"/>
        </w:pBdr>
        <w:spacing w:after="0" w:before="0" w:line="420"/>
      </w:pPr>
      <w:r>
        <w:rPr>
          <w:rFonts w:ascii="Arial" w:cs="Arial" w:eastAsia="Arial" w:hAnsi="Arial"/>
          <w:color w:val="1F2937"/>
          <w:sz w:val="22"/>
          <w:szCs w:val="22"/>
        </w:rPr>
        <w:t xml:space="preserve"> </w:t>
      </w:r>
    </w:p>
    <w:p>
      <w:pPr>
        <w:spacing w:after="40" w:before="0" w:line="276"/>
      </w:pPr>
      <w:r>
        <w:rPr>
          <w:rFonts w:ascii="Arial" w:cs="Arial" w:eastAsia="Arial" w:hAnsi="Arial"/>
          <w:color w:val="1F2937"/>
          <w:sz w:val="22"/>
          <w:szCs w:val="22"/>
        </w:rPr>
        <w:t xml:space="preserve"> </w:t>
      </w:r>
    </w:p>
    <w:p>
      <w:pPr>
        <w:keepNext/>
        <w:spacing w:after="40" w:before="200"/>
      </w:pPr>
      <w:r>
        <w:rPr>
          <w:rFonts w:ascii="Arial" w:cs="Arial" w:eastAsia="Arial" w:hAnsi="Arial"/>
          <w:b/>
          <w:bCs/>
          <w:color w:val="BE123C"/>
          <w:sz w:val="22"/>
          <w:szCs w:val="22"/>
        </w:rPr>
        <w:t xml:space="preserve">C3  </w:t>
      </w:r>
      <w:r>
        <w:rPr>
          <w:rFonts w:ascii="Arial" w:cs="Arial" w:eastAsia="Arial" w:hAnsi="Arial"/>
          <w:color w:val="1F2937"/>
          <w:sz w:val="22"/>
          <w:szCs w:val="22"/>
        </w:rPr>
        <w:t xml:space="preserve">Azulene, C₁₀H₈, is an isomer of naphthalene made of a five-membered ring fused to a seven-membered ring. It is deep blue and has a dipole moment of 1.08 D, whereas naphthalene has none. Explain the dipole, and suggest why azulene is coloured while naphthalene is not.</w:t>
      </w:r>
      <w:r>
        <w:rPr>
          <w:rFonts w:ascii="Arial" w:cs="Arial" w:eastAsia="Arial" w:hAnsi="Arial"/>
          <w:b/>
          <w:bCs/>
          <w:color w:val="D97706"/>
          <w:sz w:val="20"/>
          <w:szCs w:val="20"/>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val="false"/>
        <w:pBdr>
          <w:bottom w:val="single" w:color="A1A1AA" w:sz="4" w:space="1"/>
        </w:pBdr>
        <w:spacing w:after="0" w:before="0" w:line="420"/>
      </w:pPr>
      <w:r>
        <w:rPr>
          <w:rFonts w:ascii="Arial" w:cs="Arial" w:eastAsia="Arial" w:hAnsi="Arial"/>
          <w:color w:val="1F2937"/>
          <w:sz w:val="22"/>
          <w:szCs w:val="22"/>
        </w:rPr>
        <w:t xml:space="preserve"> </w:t>
      </w:r>
    </w:p>
    <w:p>
      <w:pPr>
        <w:spacing w:after="40" w:before="0" w:line="276"/>
      </w:pPr>
      <w:r>
        <w:rPr>
          <w:rFonts w:ascii="Arial" w:cs="Arial" w:eastAsia="Arial" w:hAnsi="Arial"/>
          <w:color w:val="1F2937"/>
          <w:sz w:val="22"/>
          <w:szCs w:val="22"/>
        </w:rPr>
        <w:t xml:space="preserve"> </w:t>
      </w:r>
    </w:p>
    <w:p>
      <w:pPr>
        <w:keepNext/>
        <w:spacing w:after="40" w:before="200"/>
      </w:pPr>
      <w:r>
        <w:rPr>
          <w:rFonts w:ascii="Arial" w:cs="Arial" w:eastAsia="Arial" w:hAnsi="Arial"/>
          <w:b/>
          <w:bCs/>
          <w:color w:val="BE123C"/>
          <w:sz w:val="22"/>
          <w:szCs w:val="22"/>
        </w:rPr>
        <w:t xml:space="preserve">C4  </w:t>
      </w:r>
      <w:r>
        <w:rPr>
          <w:rFonts w:ascii="Arial" w:cs="Arial" w:eastAsia="Arial" w:hAnsi="Arial"/>
          <w:color w:val="1F2937"/>
          <w:sz w:val="22"/>
          <w:szCs w:val="22"/>
        </w:rPr>
        <w:t xml:space="preserve">Sulfonation is reversible: heating an arenesulfonic acid with dilute H₂SO₄ removes the –SO₃H group. Use this to design a synthesis of 2-bromophenol from phenol that avoids the 2,4,6-tribromo product.</w:t>
      </w:r>
      <w:r>
        <w:rPr>
          <w:rFonts w:ascii="Arial" w:cs="Arial" w:eastAsia="Arial" w:hAnsi="Arial"/>
          <w:b/>
          <w:bCs/>
          <w:color w:val="D97706"/>
          <w:sz w:val="20"/>
          <w:szCs w:val="20"/>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val="false"/>
        <w:pBdr>
          <w:bottom w:val="single" w:color="A1A1AB" w:sz="4" w:space="1"/>
        </w:pBdr>
        <w:spacing w:after="0" w:before="0" w:line="420"/>
      </w:pPr>
      <w:r>
        <w:rPr>
          <w:rFonts w:ascii="Arial" w:cs="Arial" w:eastAsia="Arial" w:hAnsi="Arial"/>
          <w:color w:val="1F2937"/>
          <w:sz w:val="22"/>
          <w:szCs w:val="22"/>
        </w:rPr>
        <w:t xml:space="preserve"> </w:t>
      </w:r>
    </w:p>
    <w:p>
      <w:pPr>
        <w:spacing w:after="40" w:before="0" w:line="276"/>
      </w:pPr>
      <w:r>
        <w:rPr>
          <w:rFonts w:ascii="Arial" w:cs="Arial" w:eastAsia="Arial" w:hAnsi="Arial"/>
          <w:color w:val="1F2937"/>
          <w:sz w:val="22"/>
          <w:szCs w:val="22"/>
        </w:rPr>
        <w:t xml:space="preserve"> </w:t>
      </w:r>
    </w:p>
    <w:p>
      <w:pPr>
        <w:keepNext/>
        <w:spacing w:after="40" w:before="200"/>
      </w:pPr>
      <w:r>
        <w:rPr>
          <w:rFonts w:ascii="Arial" w:cs="Arial" w:eastAsia="Arial" w:hAnsi="Arial"/>
          <w:b/>
          <w:bCs/>
          <w:color w:val="BE123C"/>
          <w:sz w:val="22"/>
          <w:szCs w:val="22"/>
        </w:rPr>
        <w:t xml:space="preserve">C5  </w:t>
      </w:r>
      <w:r>
        <w:rPr>
          <w:rFonts w:ascii="Arial" w:cs="Arial" w:eastAsia="Arial" w:hAnsi="Arial"/>
          <w:color w:val="1F2937"/>
          <w:sz w:val="22"/>
          <w:szCs w:val="22"/>
        </w:rPr>
        <w:t xml:space="preserve">Explain why pyrrole undergoes electrophilic substitution far FASTER than benzene (comparable to phenol) and mainly at C2, whereas pyridine reacts far more SLOWLY than benzene (comparable to nitrobenzene) and at C3.</w:t>
      </w:r>
      <w:r>
        <w:rPr>
          <w:rFonts w:ascii="Arial" w:cs="Arial" w:eastAsia="Arial" w:hAnsi="Arial"/>
          <w:b/>
          <w:bCs/>
          <w:color w:val="D97706"/>
          <w:sz w:val="20"/>
          <w:szCs w:val="20"/>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val="false"/>
        <w:pBdr>
          <w:bottom w:val="single" w:color="A1A1AA" w:sz="4" w:space="1"/>
        </w:pBdr>
        <w:spacing w:after="0" w:before="0" w:line="420"/>
      </w:pPr>
      <w:r>
        <w:rPr>
          <w:rFonts w:ascii="Arial" w:cs="Arial" w:eastAsia="Arial" w:hAnsi="Arial"/>
          <w:color w:val="1F2937"/>
          <w:sz w:val="22"/>
          <w:szCs w:val="22"/>
        </w:rPr>
        <w:t xml:space="preserve"> </w:t>
      </w:r>
    </w:p>
    <w:p>
      <w:pPr>
        <w:spacing w:after="40" w:before="0" w:line="276"/>
      </w:pPr>
      <w:r>
        <w:rPr>
          <w:rFonts w:ascii="Arial" w:cs="Arial" w:eastAsia="Arial" w:hAnsi="Arial"/>
          <w:color w:val="1F2937"/>
          <w:sz w:val="22"/>
          <w:szCs w:val="22"/>
        </w:rPr>
        <w:t xml:space="preserve"> </w:t>
      </w:r>
    </w:p>
    <w:p>
      <w:pPr>
        <w:keepNext/>
        <w:spacing w:after="40" w:before="200"/>
      </w:pPr>
      <w:r>
        <w:rPr>
          <w:rFonts w:ascii="Arial" w:cs="Arial" w:eastAsia="Arial" w:hAnsi="Arial"/>
          <w:b/>
          <w:bCs/>
          <w:color w:val="BE123C"/>
          <w:sz w:val="22"/>
          <w:szCs w:val="22"/>
        </w:rPr>
        <w:t xml:space="preserve">C6  </w:t>
      </w:r>
      <w:r>
        <w:rPr>
          <w:rFonts w:ascii="Arial" w:cs="Arial" w:eastAsia="Arial" w:hAnsi="Arial"/>
          <w:color w:val="1F2937"/>
          <w:sz w:val="22"/>
          <w:szCs w:val="22"/>
        </w:rPr>
        <w:t xml:space="preserve">Ibuprofen is made industrially (the BHC process, 1992) in three steps from isobutylbenzene: (1) Friedel–Crafts acylation with ethanoic anhydride/HF; (2) catalytic hydrogenation of the ketone to the secondary alcohol; (3) palladium-catalysed carbonylation (CO) of the alcohol to the carboxylic acid. Draw the intermediates, explain the regiochemistry of step 1, and explain why this route won a Green Chemistry award compared with the older six-step Boots synthesis.</w:t>
      </w:r>
      <w:r>
        <w:rPr>
          <w:rFonts w:ascii="Arial" w:cs="Arial" w:eastAsia="Arial" w:hAnsi="Arial"/>
          <w:b/>
          <w:bCs/>
          <w:color w:val="D97706"/>
          <w:sz w:val="20"/>
          <w:szCs w:val="20"/>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val="false"/>
        <w:pBdr>
          <w:bottom w:val="single" w:color="A1A1AB" w:sz="4" w:space="1"/>
        </w:pBdr>
        <w:spacing w:after="0" w:before="0" w:line="420"/>
      </w:pPr>
      <w:r>
        <w:rPr>
          <w:rFonts w:ascii="Arial" w:cs="Arial" w:eastAsia="Arial" w:hAnsi="Arial"/>
          <w:color w:val="1F2937"/>
          <w:sz w:val="22"/>
          <w:szCs w:val="22"/>
        </w:rPr>
        <w:t xml:space="preserve"> </w:t>
      </w:r>
    </w:p>
    <w:p>
      <w:pPr>
        <w:spacing w:after="40" w:before="0" w:line="276"/>
      </w:pPr>
      <w:r>
        <w:rPr>
          <w:rFonts w:ascii="Arial" w:cs="Arial" w:eastAsia="Arial" w:hAnsi="Arial"/>
          <w:color w:val="1F2937"/>
          <w:sz w:val="22"/>
          <w:szCs w:val="22"/>
        </w:rPr>
        <w:t xml:space="preserve"> </w:t>
      </w:r>
    </w:p>
    <w:p>
      <w:pPr>
        <w:keepNext/>
        <w:spacing w:after="40" w:before="200"/>
      </w:pPr>
      <w:r>
        <w:rPr>
          <w:rFonts w:ascii="Arial" w:cs="Arial" w:eastAsia="Arial" w:hAnsi="Arial"/>
          <w:b/>
          <w:bCs/>
          <w:color w:val="BE123C"/>
          <w:sz w:val="22"/>
          <w:szCs w:val="22"/>
        </w:rPr>
        <w:t xml:space="preserve">C7  </w:t>
      </w:r>
      <w:r>
        <w:rPr>
          <w:rFonts w:ascii="Arial" w:cs="Arial" w:eastAsia="Arial" w:hAnsi="Arial"/>
          <w:color w:val="1F2937"/>
          <w:sz w:val="22"/>
          <w:szCs w:val="22"/>
        </w:rPr>
        <w:t xml:space="preserve">Explain why 2,4,6-trinitrotoluene (TNT) is (a) far less reactive towards further electrophilic substitution than toluene, (b) readily attacked by nucleophiles at the methyl group (its CH₃ has pKₐ ≈ 15, whereas toluene's is ≈ 41), and (c) capable of exploding — relate all three to the electronic effect of the nitro groups.</w:t>
      </w:r>
      <w:r>
        <w:rPr>
          <w:rFonts w:ascii="Arial" w:cs="Arial" w:eastAsia="Arial" w:hAnsi="Arial"/>
          <w:b/>
          <w:bCs/>
          <w:color w:val="D97706"/>
          <w:sz w:val="20"/>
          <w:szCs w:val="20"/>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val="false"/>
        <w:pBdr>
          <w:bottom w:val="single" w:color="A1A1AB" w:sz="4" w:space="1"/>
        </w:pBdr>
        <w:spacing w:after="0" w:before="0" w:line="420"/>
      </w:pPr>
      <w:r>
        <w:rPr>
          <w:rFonts w:ascii="Arial" w:cs="Arial" w:eastAsia="Arial" w:hAnsi="Arial"/>
          <w:color w:val="1F2937"/>
          <w:sz w:val="22"/>
          <w:szCs w:val="22"/>
        </w:rPr>
        <w:t xml:space="preserve"> </w:t>
      </w:r>
    </w:p>
    <w:p>
      <w:pPr>
        <w:spacing w:after="40" w:before="0" w:line="276"/>
      </w:pPr>
      <w:r>
        <w:rPr>
          <w:rFonts w:ascii="Arial" w:cs="Arial" w:eastAsia="Arial" w:hAnsi="Arial"/>
          <w:color w:val="1F2937"/>
          <w:sz w:val="22"/>
          <w:szCs w:val="22"/>
        </w:rPr>
        <w:t xml:space="preserve"> </w:t>
      </w:r>
    </w:p>
    <w:p>
      <w:pPr>
        <w:keepNext/>
        <w:spacing w:after="40" w:before="200"/>
      </w:pPr>
      <w:r>
        <w:rPr>
          <w:rFonts w:ascii="Arial" w:cs="Arial" w:eastAsia="Arial" w:hAnsi="Arial"/>
          <w:b/>
          <w:bCs/>
          <w:color w:val="BE123C"/>
          <w:sz w:val="22"/>
          <w:szCs w:val="22"/>
        </w:rPr>
        <w:t xml:space="preserve">C8  </w:t>
      </w:r>
      <w:r>
        <w:rPr>
          <w:rFonts w:ascii="Arial" w:cs="Arial" w:eastAsia="Arial" w:hAnsi="Arial"/>
          <w:color w:val="1F2937"/>
          <w:sz w:val="22"/>
          <w:szCs w:val="22"/>
        </w:rPr>
        <w:t xml:space="preserve">Compound X, C₈H₉NO₂, gives an orange precipitate with 2,4-dinitrophenylhydrazine, reacts with bromine water without a catalyst, has a ¹H NMR spectrum with two 2H doublets (J = 8.5 Hz) at 7.8 and 6.9 ppm, a 3H singlet at 2.5 ppm and a broad 2H singlet at 4.2 ppm (exchanges with D₂O), and an IR spectrum with bands at 3450, 3350 and 1660 cm⁻¹. Deduce its structure, explaining every piece of evidence. Then propose a synthesis from benzene, explaining why the two 'obvious' two-step routes (nitrate then acylate; acylate then nitrate) both fail.</w:t>
      </w:r>
      <w:r>
        <w:rPr>
          <w:rFonts w:ascii="Arial" w:cs="Arial" w:eastAsia="Arial" w:hAnsi="Arial"/>
          <w:b/>
          <w:bCs/>
          <w:color w:val="D97706"/>
          <w:sz w:val="20"/>
          <w:szCs w:val="20"/>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val="false"/>
        <w:pBdr>
          <w:bottom w:val="single" w:color="A1A1AB" w:sz="4" w:space="1"/>
        </w:pBdr>
        <w:spacing w:after="0" w:before="0" w:line="420"/>
      </w:pPr>
      <w:r>
        <w:rPr>
          <w:rFonts w:ascii="Arial" w:cs="Arial" w:eastAsia="Arial" w:hAnsi="Arial"/>
          <w:color w:val="1F2937"/>
          <w:sz w:val="22"/>
          <w:szCs w:val="22"/>
        </w:rPr>
        <w:t xml:space="preserve"> </w:t>
      </w:r>
    </w:p>
    <w:p>
      <w:pPr>
        <w:spacing w:after="40" w:before="0" w:line="276"/>
      </w:pPr>
      <w:r>
        <w:rPr>
          <w:rFonts w:ascii="Arial" w:cs="Arial" w:eastAsia="Arial" w:hAnsi="Arial"/>
          <w:color w:val="1F2937"/>
          <w:sz w:val="22"/>
          <w:szCs w:val="22"/>
        </w:rPr>
        <w:t xml:space="preserve"> </w:t>
      </w:r>
    </w:p>
    <w:p>
      <w:pPr>
        <w:keepNext/>
        <w:spacing w:after="40" w:before="200"/>
      </w:pPr>
      <w:r>
        <w:rPr>
          <w:rFonts w:ascii="Arial" w:cs="Arial" w:eastAsia="Arial" w:hAnsi="Arial"/>
          <w:b/>
          <w:bCs/>
          <w:color w:val="BE123C"/>
          <w:sz w:val="22"/>
          <w:szCs w:val="22"/>
        </w:rPr>
        <w:t xml:space="preserve">C9  </w:t>
      </w:r>
      <w:r>
        <w:rPr>
          <w:rFonts w:ascii="Arial" w:cs="Arial" w:eastAsia="Arial" w:hAnsi="Arial"/>
          <w:color w:val="1F2937"/>
          <w:sz w:val="22"/>
          <w:szCs w:val="22"/>
        </w:rPr>
        <w:t xml:space="preserve">'Aromaticity is not an observable.' Discuss this statement with reference to at least three different experimental or computational criteria, giving one case where the criteria disagree.</w:t>
      </w:r>
      <w:r>
        <w:rPr>
          <w:rFonts w:ascii="Arial" w:cs="Arial" w:eastAsia="Arial" w:hAnsi="Arial"/>
          <w:b/>
          <w:bCs/>
          <w:color w:val="D97706"/>
          <w:sz w:val="20"/>
          <w:szCs w:val="20"/>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val="false"/>
        <w:pBdr>
          <w:bottom w:val="single" w:color="A1A1AA" w:sz="4" w:space="1"/>
        </w:pBdr>
        <w:spacing w:after="0" w:before="0" w:line="420"/>
      </w:pPr>
      <w:r>
        <w:rPr>
          <w:rFonts w:ascii="Arial" w:cs="Arial" w:eastAsia="Arial" w:hAnsi="Arial"/>
          <w:color w:val="1F2937"/>
          <w:sz w:val="22"/>
          <w:szCs w:val="22"/>
        </w:rPr>
        <w:t xml:space="preserve"> </w:t>
      </w:r>
    </w:p>
    <w:p>
      <w:pPr>
        <w:spacing w:after="40" w:before="0" w:line="276"/>
      </w:pPr>
      <w:r>
        <w:rPr>
          <w:rFonts w:ascii="Arial" w:cs="Arial" w:eastAsia="Arial" w:hAnsi="Arial"/>
          <w:color w:val="1F2937"/>
          <w:sz w:val="22"/>
          <w:szCs w:val="22"/>
        </w:rPr>
        <w:t xml:space="preserve"> </w:t>
      </w:r>
    </w:p>
    <w:p>
      <w:pPr>
        <w:pageBreakBefore/>
        <w:spacing w:after="0" w:before="0" w:line="20"/>
      </w:pPr>
      <w:r>
        <w:rPr>
          <w:sz w:val="2"/>
          <w:szCs w:val="2"/>
        </w:rPr>
        <w:t xml:space="preserve"/>
      </w:r>
    </w:p>
    <w:tbl>
      <w:tblPr>
        <w:tblW w:type="dxa" w:w="9640"/>
        <w:tblBorders>
          <w:top w:val="none" w:color="FFFFFF" w:sz="0"/>
          <w:left w:val="none" w:color="FFFFFF" w:sz="0"/>
          <w:bottom w:val="none" w:color="FFFFFF" w:sz="0"/>
          <w:right w:val="none" w:color="FFFFFF" w:sz="0"/>
          <w:insideH w:val="none" w:color="FFFFFF" w:sz="0"/>
          <w:insideV w:val="none" w:color="FFFFFF" w:sz="0"/>
        </w:tblBorders>
      </w:tblPr>
      <w:tblGrid>
        <w:gridCol w:w="9640"/>
      </w:tblGrid>
      <w:tr>
        <w:trPr>
          <w:cantSplit/>
        </w:trPr>
        <w:tc>
          <w:tcPr>
            <w:tcW w:type="dxa" w:w="9640"/>
            <w:shd w:fill="0F766E" w:color="auto" w:val="clear"/>
            <w:tcMar>
              <w:top w:type="dxa" w:w="160"/>
              <w:left w:type="dxa" w:w="240"/>
              <w:bottom w:type="dxa" w:w="160"/>
              <w:right w:type="dxa" w:w="240"/>
            </w:tcMar>
          </w:tcPr>
          <w:p>
            <w:pPr>
              <w:tabs>
                <w:tab w:val="right" w:pos="9160"/>
              </w:tabs>
              <w:spacing w:after="0" w:before="0" w:line="276"/>
            </w:pPr>
            <w:r>
              <w:rPr>
                <w:rFonts w:ascii="Arial" w:cs="Arial" w:eastAsia="Arial" w:hAnsi="Arial"/>
                <w:b/>
                <w:bCs/>
                <w:color w:val="FFFFFF"/>
                <w:sz w:val="22"/>
                <w:szCs w:val="22"/>
              </w:rPr>
              <w:t xml:space="preserve">Section 18</w:t>
            </w:r>
            <w:r>
              <w:rPr>
                <w:rFonts w:ascii="Arial" w:cs="Arial" w:eastAsia="Arial" w:hAnsi="Arial"/>
                <w:b/>
                <w:bCs/>
                <w:color w:val="FFFFFF"/>
                <w:sz w:val="18"/>
                <w:szCs w:val="18"/>
              </w:rPr>
              <w:t xml:space="preserve">	FOR EVERYONE</w:t>
            </w:r>
          </w:p>
          <w:p>
            <w:pPr>
              <w:spacing w:after="40" w:before="40" w:line="276"/>
            </w:pPr>
            <w:r>
              <w:rPr>
                <w:rFonts w:ascii="Arial" w:cs="Arial" w:eastAsia="Arial" w:hAnsi="Arial"/>
                <w:b/>
                <w:bCs/>
                <w:color w:val="FFFFFF"/>
                <w:sz w:val="32"/>
                <w:szCs w:val="32"/>
              </w:rPr>
              <w:t xml:space="preserve">Reading beyond the course</w:t>
            </w:r>
          </w:p>
          <w:p>
            <w:pPr>
              <w:spacing w:after="0" w:before="0" w:line="276"/>
            </w:pPr>
            <w:r>
              <w:rPr>
                <w:rFonts w:ascii="Arial" w:cs="Arial" w:eastAsia="Arial" w:hAnsi="Arial"/>
                <w:i/>
                <w:iCs/>
                <w:color w:val="F5F3FF"/>
                <w:sz w:val="21"/>
                <w:szCs w:val="21"/>
              </w:rPr>
              <w:t xml:space="preserve">Where to go next, arranged from an evening's reading to a first-year textbook to the primary literature.</w:t>
            </w:r>
          </w:p>
        </w:tc>
      </w:tr>
    </w:tbl>
    <w:p>
      <w:pPr>
        <w:spacing w:after="40" w:before="0" w:line="276"/>
      </w:pPr>
      <w:r>
        <w:rPr>
          <w:rFonts w:ascii="Arial" w:cs="Arial" w:eastAsia="Arial" w:hAnsi="Arial"/>
          <w:color w:val="1F2937"/>
          <w:sz w:val="22"/>
          <w:szCs w:val="22"/>
        </w:rPr>
        <w:t xml:space="preserve"> </w:t>
      </w:r>
    </w:p>
    <w:p>
      <w:pPr>
        <w:keepNext/>
        <w:spacing w:after="80" w:before="200" w:line="276"/>
      </w:pPr>
      <w:r>
        <w:rPr>
          <w:rFonts w:ascii="Arial" w:cs="Arial" w:eastAsia="Arial" w:hAnsi="Arial"/>
          <w:b/>
          <w:bCs/>
          <w:color w:val="0F766E"/>
          <w:sz w:val="26"/>
          <w:szCs w:val="26"/>
        </w:rPr>
        <w:t xml:space="preserve">Books to read for pleasure</w:t>
      </w:r>
    </w:p>
    <w:tbl>
      <w:tblPr>
        <w:tblW w:type="dxa" w:w="9640"/>
        <w:tblBorders>
          <w:top w:val="single" w:color="CBD5E1" w:sz="6"/>
          <w:left w:val="single" w:color="CBD5E1" w:sz="6"/>
          <w:bottom w:val="single" w:color="CBD5E1" w:sz="6"/>
          <w:right w:val="single" w:color="CBD5E1" w:sz="6"/>
          <w:insideH w:val="single" w:color="CBD5E1" w:sz="6"/>
          <w:insideV w:val="single" w:color="CBD5E1" w:sz="6"/>
        </w:tblBorders>
      </w:tblPr>
      <w:tblGrid>
        <w:gridCol w:w="3769"/>
        <w:gridCol w:w="5871"/>
      </w:tblGrid>
      <w:tr>
        <w:trPr>
          <w:tblHeader/>
        </w:trPr>
        <w:tc>
          <w:tcPr>
            <w:tcW w:type="dxa" w:w="3769"/>
            <w:shd w:fill="0F766E" w:color="auto" w:val="clear"/>
            <w:tcMar>
              <w:top w:type="dxa" w:w="60"/>
              <w:left w:type="dxa" w:w="100"/>
              <w:bottom w:type="dxa" w:w="60"/>
              <w:right w:type="dxa" w:w="100"/>
            </w:tcMar>
            <w:vAlign w:val="center"/>
          </w:tcPr>
          <w:p>
            <w:pPr>
              <w:spacing w:after="0" w:before="0" w:line="276"/>
            </w:pPr>
            <w:r>
              <w:rPr>
                <w:rFonts w:ascii="Arial" w:cs="Arial" w:eastAsia="Arial" w:hAnsi="Arial"/>
                <w:b/>
                <w:bCs/>
                <w:color w:val="FFFFFF"/>
                <w:sz w:val="20"/>
                <w:szCs w:val="20"/>
              </w:rPr>
              <w:t xml:space="preserve">Book</w:t>
            </w:r>
          </w:p>
        </w:tc>
        <w:tc>
          <w:tcPr>
            <w:tcW w:type="dxa" w:w="5871"/>
            <w:shd w:fill="0F766E" w:color="auto" w:val="clear"/>
            <w:tcMar>
              <w:top w:type="dxa" w:w="60"/>
              <w:left w:type="dxa" w:w="100"/>
              <w:bottom w:type="dxa" w:w="60"/>
              <w:right w:type="dxa" w:w="100"/>
            </w:tcMar>
            <w:vAlign w:val="center"/>
          </w:tcPr>
          <w:p>
            <w:pPr>
              <w:spacing w:after="0" w:before="0" w:line="276"/>
            </w:pPr>
            <w:r>
              <w:rPr>
                <w:rFonts w:ascii="Arial" w:cs="Arial" w:eastAsia="Arial" w:hAnsi="Arial"/>
                <w:b/>
                <w:bCs/>
                <w:color w:val="FFFFFF"/>
                <w:sz w:val="20"/>
                <w:szCs w:val="20"/>
              </w:rPr>
              <w:t xml:space="preserve">Why</w:t>
            </w:r>
          </w:p>
        </w:tc>
      </w:tr>
      <w:tr>
        <w:tc>
          <w:tcPr>
            <w:tcW w:type="dxa" w:w="3769"/>
            <w:shd w:fill="F1F5F9" w:color="auto" w:val="clear"/>
            <w:tcMar>
              <w:top w:type="dxa" w:w="60"/>
              <w:left w:type="dxa" w:w="100"/>
              <w:bottom w:type="dxa" w:w="60"/>
              <w:right w:type="dxa" w:w="100"/>
            </w:tcMar>
            <w:vAlign w:val="center"/>
          </w:tcPr>
          <w:p>
            <w:pPr>
              <w:spacing w:after="0" w:before="0" w:line="276"/>
            </w:pPr>
            <w:r>
              <w:rPr>
                <w:rFonts w:ascii="Arial" w:cs="Arial" w:eastAsia="Arial" w:hAnsi="Arial"/>
                <w:b/>
                <w:bCs/>
                <w:color w:val="1F2937"/>
                <w:sz w:val="20"/>
                <w:szCs w:val="20"/>
              </w:rPr>
              <w:t xml:space="preserve">Simon Garfield, Mauve (2000)</w:t>
            </w:r>
          </w:p>
        </w:tc>
        <w:tc>
          <w:tcPr>
            <w:tcW w:type="dxa" w:w="5871"/>
            <w:shd w:fill="FFFFFF" w:color="auto" w:val="clear"/>
            <w:tcMar>
              <w:top w:type="dxa" w:w="60"/>
              <w:left w:type="dxa" w:w="100"/>
              <w:bottom w:type="dxa" w:w="60"/>
              <w:right w:type="dxa" w:w="100"/>
            </w:tcMar>
            <w:vAlign w:val="center"/>
          </w:tcPr>
          <w:p>
            <w:pPr>
              <w:spacing w:after="0" w:before="0" w:line="276"/>
            </w:pPr>
            <w:r>
              <w:rPr>
                <w:rFonts w:ascii="Arial" w:cs="Arial" w:eastAsia="Arial" w:hAnsi="Arial"/>
                <w:b w:val="false"/>
                <w:bCs w:val="false"/>
                <w:color w:val="1F2937"/>
                <w:sz w:val="20"/>
                <w:szCs w:val="20"/>
              </w:rPr>
              <w:t xml:space="preserve">William Perkin, aged 18, tries to make quinine from coal-tar aniline and instead invents the synthetic dye industry — the birth of aromatic chemistry as an industry</w:t>
            </w:r>
          </w:p>
        </w:tc>
      </w:tr>
      <w:tr>
        <w:tc>
          <w:tcPr>
            <w:tcW w:type="dxa" w:w="3769"/>
            <w:shd w:fill="F1F5F9" w:color="auto" w:val="clear"/>
            <w:tcMar>
              <w:top w:type="dxa" w:w="60"/>
              <w:left w:type="dxa" w:w="100"/>
              <w:bottom w:type="dxa" w:w="60"/>
              <w:right w:type="dxa" w:w="100"/>
            </w:tcMar>
            <w:vAlign w:val="center"/>
          </w:tcPr>
          <w:p>
            <w:pPr>
              <w:spacing w:after="0" w:before="0" w:line="276"/>
            </w:pPr>
            <w:r>
              <w:rPr>
                <w:rFonts w:ascii="Arial" w:cs="Arial" w:eastAsia="Arial" w:hAnsi="Arial"/>
                <w:b/>
                <w:bCs/>
                <w:color w:val="1F2937"/>
                <w:sz w:val="20"/>
                <w:szCs w:val="20"/>
              </w:rPr>
              <w:t xml:space="preserve">Penny Le Couteur &amp; Jay Burreson, Napoleon's Buttons (2003)</w:t>
            </w:r>
          </w:p>
        </w:tc>
        <w:tc>
          <w:tcPr>
            <w:tcW w:type="dxa" w:w="5871"/>
            <w:shd w:fill="FFFFFF" w:color="auto" w:val="clear"/>
            <w:tcMar>
              <w:top w:type="dxa" w:w="60"/>
              <w:left w:type="dxa" w:w="100"/>
              <w:bottom w:type="dxa" w:w="60"/>
              <w:right w:type="dxa" w:w="100"/>
            </w:tcMar>
            <w:vAlign w:val="center"/>
          </w:tcPr>
          <w:p>
            <w:pPr>
              <w:spacing w:after="0" w:before="0" w:line="276"/>
            </w:pPr>
            <w:r>
              <w:rPr>
                <w:rFonts w:ascii="Arial" w:cs="Arial" w:eastAsia="Arial" w:hAnsi="Arial"/>
                <w:b w:val="false"/>
                <w:bCs w:val="false"/>
                <w:color w:val="1F2937"/>
                <w:sz w:val="20"/>
                <w:szCs w:val="20"/>
              </w:rPr>
              <w:t xml:space="preserve">chapters on dyes, nitro compounds and phenol — how these molecules changed history</w:t>
            </w:r>
          </w:p>
        </w:tc>
      </w:tr>
      <w:tr>
        <w:tc>
          <w:tcPr>
            <w:tcW w:type="dxa" w:w="3769"/>
            <w:shd w:fill="F1F5F9" w:color="auto" w:val="clear"/>
            <w:tcMar>
              <w:top w:type="dxa" w:w="60"/>
              <w:left w:type="dxa" w:w="100"/>
              <w:bottom w:type="dxa" w:w="60"/>
              <w:right w:type="dxa" w:w="100"/>
            </w:tcMar>
            <w:vAlign w:val="center"/>
          </w:tcPr>
          <w:p>
            <w:pPr>
              <w:spacing w:after="0" w:before="0" w:line="276"/>
            </w:pPr>
            <w:r>
              <w:rPr>
                <w:rFonts w:ascii="Arial" w:cs="Arial" w:eastAsia="Arial" w:hAnsi="Arial"/>
                <w:b/>
                <w:bCs/>
                <w:color w:val="1F2937"/>
                <w:sz w:val="20"/>
                <w:szCs w:val="20"/>
              </w:rPr>
              <w:t xml:space="preserve">Alan Rocke, Image and Reality: Kekulé, Kopp, and the Scientific Imagination (2010)</w:t>
            </w:r>
          </w:p>
        </w:tc>
        <w:tc>
          <w:tcPr>
            <w:tcW w:type="dxa" w:w="5871"/>
            <w:shd w:fill="FFFFFF" w:color="auto" w:val="clear"/>
            <w:tcMar>
              <w:top w:type="dxa" w:w="60"/>
              <w:left w:type="dxa" w:w="100"/>
              <w:bottom w:type="dxa" w:w="60"/>
              <w:right w:type="dxa" w:w="100"/>
            </w:tcMar>
            <w:vAlign w:val="center"/>
          </w:tcPr>
          <w:p>
            <w:pPr>
              <w:spacing w:after="0" w:before="0" w:line="276"/>
            </w:pPr>
            <w:r>
              <w:rPr>
                <w:rFonts w:ascii="Arial" w:cs="Arial" w:eastAsia="Arial" w:hAnsi="Arial"/>
                <w:b w:val="false"/>
                <w:bCs w:val="false"/>
                <w:color w:val="1F2937"/>
                <w:sz w:val="20"/>
                <w:szCs w:val="20"/>
              </w:rPr>
              <w:t xml:space="preserve">the real story of the benzene ring — and of the 'dream'</w:t>
            </w:r>
          </w:p>
        </w:tc>
      </w:tr>
      <w:tr>
        <w:tc>
          <w:tcPr>
            <w:tcW w:type="dxa" w:w="3769"/>
            <w:shd w:fill="F1F5F9" w:color="auto" w:val="clear"/>
            <w:tcMar>
              <w:top w:type="dxa" w:w="60"/>
              <w:left w:type="dxa" w:w="100"/>
              <w:bottom w:type="dxa" w:w="60"/>
              <w:right w:type="dxa" w:w="100"/>
            </w:tcMar>
            <w:vAlign w:val="center"/>
          </w:tcPr>
          <w:p>
            <w:pPr>
              <w:spacing w:after="0" w:before="0" w:line="276"/>
            </w:pPr>
            <w:r>
              <w:rPr>
                <w:rFonts w:ascii="Arial" w:cs="Arial" w:eastAsia="Arial" w:hAnsi="Arial"/>
                <w:b/>
                <w:bCs/>
                <w:color w:val="1F2937"/>
                <w:sz w:val="20"/>
                <w:szCs w:val="20"/>
              </w:rPr>
              <w:t xml:space="preserve">Philip Ball, Bright Earth: The Invention of Colour (2001)</w:t>
            </w:r>
          </w:p>
        </w:tc>
        <w:tc>
          <w:tcPr>
            <w:tcW w:type="dxa" w:w="5871"/>
            <w:shd w:fill="FFFFFF" w:color="auto" w:val="clear"/>
            <w:tcMar>
              <w:top w:type="dxa" w:w="60"/>
              <w:left w:type="dxa" w:w="100"/>
              <w:bottom w:type="dxa" w:w="60"/>
              <w:right w:type="dxa" w:w="100"/>
            </w:tcMar>
            <w:vAlign w:val="center"/>
          </w:tcPr>
          <w:p>
            <w:pPr>
              <w:spacing w:after="0" w:before="0" w:line="276"/>
            </w:pPr>
            <w:r>
              <w:rPr>
                <w:rFonts w:ascii="Arial" w:cs="Arial" w:eastAsia="Arial" w:hAnsi="Arial"/>
                <w:b w:val="false"/>
                <w:bCs w:val="false"/>
                <w:color w:val="1F2937"/>
                <w:sz w:val="20"/>
                <w:szCs w:val="20"/>
              </w:rPr>
              <w:t xml:space="preserve">aromatic dyes and pigments from mauve to modern</w:t>
            </w:r>
          </w:p>
        </w:tc>
      </w:tr>
      <w:tr>
        <w:tc>
          <w:tcPr>
            <w:tcW w:type="dxa" w:w="3769"/>
            <w:shd w:fill="F1F5F9" w:color="auto" w:val="clear"/>
            <w:tcMar>
              <w:top w:type="dxa" w:w="60"/>
              <w:left w:type="dxa" w:w="100"/>
              <w:bottom w:type="dxa" w:w="60"/>
              <w:right w:type="dxa" w:w="100"/>
            </w:tcMar>
            <w:vAlign w:val="center"/>
          </w:tcPr>
          <w:p>
            <w:pPr>
              <w:spacing w:after="0" w:before="0" w:line="276"/>
            </w:pPr>
            <w:r>
              <w:rPr>
                <w:rFonts w:ascii="Arial" w:cs="Arial" w:eastAsia="Arial" w:hAnsi="Arial"/>
                <w:b/>
                <w:bCs/>
                <w:color w:val="1F2937"/>
                <w:sz w:val="20"/>
                <w:szCs w:val="20"/>
              </w:rPr>
              <w:t xml:space="preserve">John Emsley, Molecules at an Exhibition (1998)</w:t>
            </w:r>
          </w:p>
        </w:tc>
        <w:tc>
          <w:tcPr>
            <w:tcW w:type="dxa" w:w="5871"/>
            <w:shd w:fill="FFFFFF" w:color="auto" w:val="clear"/>
            <w:tcMar>
              <w:top w:type="dxa" w:w="60"/>
              <w:left w:type="dxa" w:w="100"/>
              <w:bottom w:type="dxa" w:w="60"/>
              <w:right w:type="dxa" w:w="100"/>
            </w:tcMar>
            <w:vAlign w:val="center"/>
          </w:tcPr>
          <w:p>
            <w:pPr>
              <w:spacing w:after="0" w:before="0" w:line="276"/>
            </w:pPr>
            <w:r>
              <w:rPr>
                <w:rFonts w:ascii="Arial" w:cs="Arial" w:eastAsia="Arial" w:hAnsi="Arial"/>
                <w:b w:val="false"/>
                <w:bCs w:val="false"/>
                <w:color w:val="1F2937"/>
                <w:sz w:val="20"/>
                <w:szCs w:val="20"/>
              </w:rPr>
              <w:t xml:space="preserve">short readable essays; look for aspirin, TNT, phenol, paracetamol</w:t>
            </w:r>
          </w:p>
        </w:tc>
      </w:tr>
      <w:tr>
        <w:tc>
          <w:tcPr>
            <w:tcW w:type="dxa" w:w="3769"/>
            <w:shd w:fill="F1F5F9" w:color="auto" w:val="clear"/>
            <w:tcMar>
              <w:top w:type="dxa" w:w="60"/>
              <w:left w:type="dxa" w:w="100"/>
              <w:bottom w:type="dxa" w:w="60"/>
              <w:right w:type="dxa" w:w="100"/>
            </w:tcMar>
            <w:vAlign w:val="center"/>
          </w:tcPr>
          <w:p>
            <w:pPr>
              <w:spacing w:after="0" w:before="0" w:line="276"/>
            </w:pPr>
            <w:r>
              <w:rPr>
                <w:rFonts w:ascii="Arial" w:cs="Arial" w:eastAsia="Arial" w:hAnsi="Arial"/>
                <w:b/>
                <w:bCs/>
                <w:color w:val="1F2937"/>
                <w:sz w:val="20"/>
                <w:szCs w:val="20"/>
              </w:rPr>
              <w:t xml:space="preserve">Oliver Sacks, Uncle Tungsten (2001)</w:t>
            </w:r>
          </w:p>
        </w:tc>
        <w:tc>
          <w:tcPr>
            <w:tcW w:type="dxa" w:w="5871"/>
            <w:shd w:fill="FFFFFF" w:color="auto" w:val="clear"/>
            <w:tcMar>
              <w:top w:type="dxa" w:w="60"/>
              <w:left w:type="dxa" w:w="100"/>
              <w:bottom w:type="dxa" w:w="60"/>
              <w:right w:type="dxa" w:w="100"/>
            </w:tcMar>
            <w:vAlign w:val="center"/>
          </w:tcPr>
          <w:p>
            <w:pPr>
              <w:spacing w:after="0" w:before="0" w:line="276"/>
            </w:pPr>
            <w:r>
              <w:rPr>
                <w:rFonts w:ascii="Arial" w:cs="Arial" w:eastAsia="Arial" w:hAnsi="Arial"/>
                <w:b w:val="false"/>
                <w:bCs w:val="false"/>
                <w:color w:val="1F2937"/>
                <w:sz w:val="20"/>
                <w:szCs w:val="20"/>
              </w:rPr>
              <w:t xml:space="preserve">not about aromatics, but the best account ever written of falling in love with chemistry</w:t>
            </w:r>
          </w:p>
        </w:tc>
      </w:tr>
    </w:tbl>
    <w:p>
      <w:pPr>
        <w:spacing w:after="40" w:before="0" w:line="276"/>
      </w:pPr>
      <w:r>
        <w:rPr>
          <w:rFonts w:ascii="Arial" w:cs="Arial" w:eastAsia="Arial" w:hAnsi="Arial"/>
          <w:color w:val="1F2937"/>
          <w:sz w:val="22"/>
          <w:szCs w:val="22"/>
        </w:rPr>
        <w:t xml:space="preserve"> </w:t>
      </w:r>
    </w:p>
    <w:p>
      <w:pPr>
        <w:keepNext/>
        <w:spacing w:after="80" w:before="200" w:line="276"/>
      </w:pPr>
      <w:r>
        <w:rPr>
          <w:rFonts w:ascii="Arial" w:cs="Arial" w:eastAsia="Arial" w:hAnsi="Arial"/>
          <w:b/>
          <w:bCs/>
          <w:color w:val="0F766E"/>
          <w:sz w:val="26"/>
          <w:szCs w:val="26"/>
        </w:rPr>
        <w:t xml:space="preserve">Textbooks — first year</w:t>
      </w:r>
    </w:p>
    <w:tbl>
      <w:tblPr>
        <w:tblW w:type="dxa" w:w="9640"/>
        <w:tblBorders>
          <w:top w:val="single" w:color="CBD5E1" w:sz="6"/>
          <w:left w:val="single" w:color="CBD5E1" w:sz="6"/>
          <w:bottom w:val="single" w:color="CBD5E1" w:sz="6"/>
          <w:right w:val="single" w:color="CBD5E1" w:sz="6"/>
          <w:insideH w:val="single" w:color="CBD5E1" w:sz="6"/>
          <w:insideV w:val="single" w:color="CBD5E1" w:sz="6"/>
        </w:tblBorders>
      </w:tblPr>
      <w:tblGrid>
        <w:gridCol w:w="4059"/>
        <w:gridCol w:w="5581"/>
      </w:tblGrid>
      <w:tr>
        <w:trPr>
          <w:tblHeader/>
        </w:trPr>
        <w:tc>
          <w:tcPr>
            <w:tcW w:type="dxa" w:w="4059"/>
            <w:shd w:fill="0F766E" w:color="auto" w:val="clear"/>
            <w:tcMar>
              <w:top w:type="dxa" w:w="60"/>
              <w:left w:type="dxa" w:w="100"/>
              <w:bottom w:type="dxa" w:w="60"/>
              <w:right w:type="dxa" w:w="100"/>
            </w:tcMar>
            <w:vAlign w:val="center"/>
          </w:tcPr>
          <w:p>
            <w:pPr>
              <w:spacing w:after="0" w:before="0" w:line="276"/>
            </w:pPr>
            <w:r>
              <w:rPr>
                <w:rFonts w:ascii="Arial" w:cs="Arial" w:eastAsia="Arial" w:hAnsi="Arial"/>
                <w:b/>
                <w:bCs/>
                <w:color w:val="FFFFFF"/>
                <w:sz w:val="20"/>
                <w:szCs w:val="20"/>
              </w:rPr>
              <w:t xml:space="preserve">Book</w:t>
            </w:r>
          </w:p>
        </w:tc>
        <w:tc>
          <w:tcPr>
            <w:tcW w:type="dxa" w:w="5581"/>
            <w:shd w:fill="0F766E" w:color="auto" w:val="clear"/>
            <w:tcMar>
              <w:top w:type="dxa" w:w="60"/>
              <w:left w:type="dxa" w:w="100"/>
              <w:bottom w:type="dxa" w:w="60"/>
              <w:right w:type="dxa" w:w="100"/>
            </w:tcMar>
            <w:vAlign w:val="center"/>
          </w:tcPr>
          <w:p>
            <w:pPr>
              <w:spacing w:after="0" w:before="0" w:line="276"/>
            </w:pPr>
            <w:r>
              <w:rPr>
                <w:rFonts w:ascii="Arial" w:cs="Arial" w:eastAsia="Arial" w:hAnsi="Arial"/>
                <w:b/>
                <w:bCs/>
                <w:color w:val="FFFFFF"/>
                <w:sz w:val="20"/>
                <w:szCs w:val="20"/>
              </w:rPr>
              <w:t xml:space="preserve">Chapters for this topic</w:t>
            </w:r>
          </w:p>
        </w:tc>
      </w:tr>
      <w:tr>
        <w:tc>
          <w:tcPr>
            <w:tcW w:type="dxa" w:w="4059"/>
            <w:shd w:fill="F1F5F9" w:color="auto" w:val="clear"/>
            <w:tcMar>
              <w:top w:type="dxa" w:w="60"/>
              <w:left w:type="dxa" w:w="100"/>
              <w:bottom w:type="dxa" w:w="60"/>
              <w:right w:type="dxa" w:w="100"/>
            </w:tcMar>
            <w:vAlign w:val="center"/>
          </w:tcPr>
          <w:p>
            <w:pPr>
              <w:spacing w:after="0" w:before="0" w:line="276"/>
            </w:pPr>
            <w:r>
              <w:rPr>
                <w:rFonts w:ascii="Arial" w:cs="Arial" w:eastAsia="Arial" w:hAnsi="Arial"/>
                <w:b/>
                <w:bCs/>
                <w:color w:val="1F2937"/>
                <w:sz w:val="20"/>
                <w:szCs w:val="20"/>
              </w:rPr>
              <w:t xml:space="preserve">J. Clayden, N. Greeves &amp; S. Warren, Organic Chemistry, 2nd ed. (OUP, 2012)</w:t>
            </w:r>
          </w:p>
        </w:tc>
        <w:tc>
          <w:tcPr>
            <w:tcW w:type="dxa" w:w="5581"/>
            <w:shd w:fill="FFFFFF" w:color="auto" w:val="clear"/>
            <w:tcMar>
              <w:top w:type="dxa" w:w="60"/>
              <w:left w:type="dxa" w:w="100"/>
              <w:bottom w:type="dxa" w:w="60"/>
              <w:right w:type="dxa" w:w="100"/>
            </w:tcMar>
            <w:vAlign w:val="center"/>
          </w:tcPr>
          <w:p>
            <w:pPr>
              <w:spacing w:after="0" w:before="0" w:line="276"/>
            </w:pPr>
            <w:r>
              <w:rPr>
                <w:rFonts w:ascii="Arial" w:cs="Arial" w:eastAsia="Arial" w:hAnsi="Arial"/>
                <w:b w:val="false"/>
                <w:bCs w:val="false"/>
                <w:color w:val="1F2937"/>
                <w:sz w:val="20"/>
                <w:szCs w:val="20"/>
              </w:rPr>
              <w:t xml:space="preserve">7 (conjugation &amp; aromaticity), 21 (electrophilic aromatic substitution), 22 (nucleophilic aromatic substitution), 24 (regioselectivity), 29–30 (heterocycles), 40 (organometallics/cross-coupling). The book to buy.</w:t>
            </w:r>
          </w:p>
        </w:tc>
      </w:tr>
      <w:tr>
        <w:tc>
          <w:tcPr>
            <w:tcW w:type="dxa" w:w="4059"/>
            <w:shd w:fill="F1F5F9" w:color="auto" w:val="clear"/>
            <w:tcMar>
              <w:top w:type="dxa" w:w="60"/>
              <w:left w:type="dxa" w:w="100"/>
              <w:bottom w:type="dxa" w:w="60"/>
              <w:right w:type="dxa" w:w="100"/>
            </w:tcMar>
            <w:vAlign w:val="center"/>
          </w:tcPr>
          <w:p>
            <w:pPr>
              <w:spacing w:after="0" w:before="0" w:line="276"/>
            </w:pPr>
            <w:r>
              <w:rPr>
                <w:rFonts w:ascii="Arial" w:cs="Arial" w:eastAsia="Arial" w:hAnsi="Arial"/>
                <w:b/>
                <w:bCs/>
                <w:color w:val="1F2937"/>
                <w:sz w:val="20"/>
                <w:szCs w:val="20"/>
              </w:rPr>
              <w:t xml:space="preserve">I. Fleming, Molecular Orbitals and Organic Chemical Reactions, Student ed. (Wiley, 2009)</w:t>
            </w:r>
          </w:p>
        </w:tc>
        <w:tc>
          <w:tcPr>
            <w:tcW w:type="dxa" w:w="5581"/>
            <w:shd w:fill="FFFFFF" w:color="auto" w:val="clear"/>
            <w:tcMar>
              <w:top w:type="dxa" w:w="60"/>
              <w:left w:type="dxa" w:w="100"/>
              <w:bottom w:type="dxa" w:w="60"/>
              <w:right w:type="dxa" w:w="100"/>
            </w:tcMar>
            <w:vAlign w:val="center"/>
          </w:tcPr>
          <w:p>
            <w:pPr>
              <w:spacing w:after="0" w:before="0" w:line="276"/>
            </w:pPr>
            <w:r>
              <w:rPr>
                <w:rFonts w:ascii="Arial" w:cs="Arial" w:eastAsia="Arial" w:hAnsi="Arial"/>
                <w:b w:val="false"/>
                <w:bCs w:val="false"/>
                <w:color w:val="1F2937"/>
                <w:sz w:val="20"/>
                <w:szCs w:val="20"/>
              </w:rPr>
              <w:t xml:space="preserve">1–2 (Hückel MOs), 4 (aromaticity in MO terms)</w:t>
            </w:r>
          </w:p>
        </w:tc>
      </w:tr>
      <w:tr>
        <w:tc>
          <w:tcPr>
            <w:tcW w:type="dxa" w:w="4059"/>
            <w:shd w:fill="F1F5F9" w:color="auto" w:val="clear"/>
            <w:tcMar>
              <w:top w:type="dxa" w:w="60"/>
              <w:left w:type="dxa" w:w="100"/>
              <w:bottom w:type="dxa" w:w="60"/>
              <w:right w:type="dxa" w:w="100"/>
            </w:tcMar>
            <w:vAlign w:val="center"/>
          </w:tcPr>
          <w:p>
            <w:pPr>
              <w:spacing w:after="0" w:before="0" w:line="276"/>
            </w:pPr>
            <w:r>
              <w:rPr>
                <w:rFonts w:ascii="Arial" w:cs="Arial" w:eastAsia="Arial" w:hAnsi="Arial"/>
                <w:b/>
                <w:bCs/>
                <w:color w:val="1F2937"/>
                <w:sz w:val="20"/>
                <w:szCs w:val="20"/>
              </w:rPr>
              <w:t xml:space="preserve">P. Sykes, A Guidebook to Mechanism in Organic Chemistry, 6th ed. (Longman)</w:t>
            </w:r>
          </w:p>
        </w:tc>
        <w:tc>
          <w:tcPr>
            <w:tcW w:type="dxa" w:w="5581"/>
            <w:shd w:fill="FFFFFF" w:color="auto" w:val="clear"/>
            <w:tcMar>
              <w:top w:type="dxa" w:w="60"/>
              <w:left w:type="dxa" w:w="100"/>
              <w:bottom w:type="dxa" w:w="60"/>
              <w:right w:type="dxa" w:w="100"/>
            </w:tcMar>
            <w:vAlign w:val="center"/>
          </w:tcPr>
          <w:p>
            <w:pPr>
              <w:spacing w:after="0" w:before="0" w:line="276"/>
            </w:pPr>
            <w:r>
              <w:rPr>
                <w:rFonts w:ascii="Arial" w:cs="Arial" w:eastAsia="Arial" w:hAnsi="Arial"/>
                <w:b w:val="false"/>
                <w:bCs w:val="false"/>
                <w:color w:val="1F2937"/>
                <w:sz w:val="20"/>
                <w:szCs w:val="20"/>
              </w:rPr>
              <w:t xml:space="preserve">ch. 6 (electrophilic aromatic substitution) — compact and classic</w:t>
            </w:r>
          </w:p>
        </w:tc>
      </w:tr>
      <w:tr>
        <w:tc>
          <w:tcPr>
            <w:tcW w:type="dxa" w:w="4059"/>
            <w:shd w:fill="F1F5F9" w:color="auto" w:val="clear"/>
            <w:tcMar>
              <w:top w:type="dxa" w:w="60"/>
              <w:left w:type="dxa" w:w="100"/>
              <w:bottom w:type="dxa" w:w="60"/>
              <w:right w:type="dxa" w:w="100"/>
            </w:tcMar>
            <w:vAlign w:val="center"/>
          </w:tcPr>
          <w:p>
            <w:pPr>
              <w:spacing w:after="0" w:before="0" w:line="276"/>
            </w:pPr>
            <w:r>
              <w:rPr>
                <w:rFonts w:ascii="Arial" w:cs="Arial" w:eastAsia="Arial" w:hAnsi="Arial"/>
                <w:b/>
                <w:bCs/>
                <w:color w:val="1F2937"/>
                <w:sz w:val="20"/>
                <w:szCs w:val="20"/>
              </w:rPr>
              <w:t xml:space="preserve">S. Warren &amp; P. Wyatt, Organic Synthesis: The Disconnection Approach, 2nd ed. (Wiley, 2008)</w:t>
            </w:r>
          </w:p>
        </w:tc>
        <w:tc>
          <w:tcPr>
            <w:tcW w:type="dxa" w:w="5581"/>
            <w:shd w:fill="FFFFFF" w:color="auto" w:val="clear"/>
            <w:tcMar>
              <w:top w:type="dxa" w:w="60"/>
              <w:left w:type="dxa" w:w="100"/>
              <w:bottom w:type="dxa" w:w="60"/>
              <w:right w:type="dxa" w:w="100"/>
            </w:tcMar>
            <w:vAlign w:val="center"/>
          </w:tcPr>
          <w:p>
            <w:pPr>
              <w:spacing w:after="0" w:before="0" w:line="276"/>
            </w:pPr>
            <w:r>
              <w:rPr>
                <w:rFonts w:ascii="Arial" w:cs="Arial" w:eastAsia="Arial" w:hAnsi="Arial"/>
                <w:b w:val="false"/>
                <w:bCs w:val="false"/>
                <w:color w:val="1F2937"/>
                <w:sz w:val="20"/>
                <w:szCs w:val="20"/>
              </w:rPr>
              <w:t xml:space="preserve">ch. 3 — planning aromatic syntheses</w:t>
            </w:r>
          </w:p>
        </w:tc>
      </w:tr>
    </w:tbl>
    <w:p>
      <w:pPr>
        <w:spacing w:after="40" w:before="0" w:line="276"/>
      </w:pPr>
      <w:r>
        <w:rPr>
          <w:rFonts w:ascii="Arial" w:cs="Arial" w:eastAsia="Arial" w:hAnsi="Arial"/>
          <w:color w:val="1F2937"/>
          <w:sz w:val="22"/>
          <w:szCs w:val="22"/>
        </w:rPr>
        <w:t xml:space="preserve"> </w:t>
      </w:r>
    </w:p>
    <w:p>
      <w:pPr>
        <w:keepNext/>
        <w:spacing w:after="80" w:before="200" w:line="276"/>
      </w:pPr>
      <w:r>
        <w:rPr>
          <w:rFonts w:ascii="Arial" w:cs="Arial" w:eastAsia="Arial" w:hAnsi="Arial"/>
          <w:b/>
          <w:bCs/>
          <w:color w:val="0F766E"/>
          <w:sz w:val="26"/>
          <w:szCs w:val="26"/>
        </w:rPr>
        <w:t xml:space="preserve">Textbooks — second year and beyond</w:t>
      </w:r>
    </w:p>
    <w:tbl>
      <w:tblPr>
        <w:tblW w:type="dxa" w:w="9640"/>
        <w:tblBorders>
          <w:top w:val="single" w:color="CBD5E1" w:sz="6"/>
          <w:left w:val="single" w:color="CBD5E1" w:sz="6"/>
          <w:bottom w:val="single" w:color="CBD5E1" w:sz="6"/>
          <w:right w:val="single" w:color="CBD5E1" w:sz="6"/>
          <w:insideH w:val="single" w:color="CBD5E1" w:sz="6"/>
          <w:insideV w:val="single" w:color="CBD5E1" w:sz="6"/>
        </w:tblBorders>
      </w:tblPr>
      <w:tblGrid>
        <w:gridCol w:w="4059"/>
        <w:gridCol w:w="5581"/>
      </w:tblGrid>
      <w:tr>
        <w:trPr>
          <w:tblHeader/>
        </w:trPr>
        <w:tc>
          <w:tcPr>
            <w:tcW w:type="dxa" w:w="4059"/>
            <w:shd w:fill="0F766E" w:color="auto" w:val="clear"/>
            <w:tcMar>
              <w:top w:type="dxa" w:w="60"/>
              <w:left w:type="dxa" w:w="100"/>
              <w:bottom w:type="dxa" w:w="60"/>
              <w:right w:type="dxa" w:w="100"/>
            </w:tcMar>
            <w:vAlign w:val="center"/>
          </w:tcPr>
          <w:p>
            <w:pPr>
              <w:spacing w:after="0" w:before="0" w:line="276"/>
            </w:pPr>
            <w:r>
              <w:rPr>
                <w:rFonts w:ascii="Arial" w:cs="Arial" w:eastAsia="Arial" w:hAnsi="Arial"/>
                <w:b/>
                <w:bCs/>
                <w:color w:val="FFFFFF"/>
                <w:sz w:val="20"/>
                <w:szCs w:val="20"/>
              </w:rPr>
              <w:t xml:space="preserve">Book</w:t>
            </w:r>
          </w:p>
        </w:tc>
        <w:tc>
          <w:tcPr>
            <w:tcW w:type="dxa" w:w="5581"/>
            <w:shd w:fill="0F766E" w:color="auto" w:val="clear"/>
            <w:tcMar>
              <w:top w:type="dxa" w:w="60"/>
              <w:left w:type="dxa" w:w="100"/>
              <w:bottom w:type="dxa" w:w="60"/>
              <w:right w:type="dxa" w:w="100"/>
            </w:tcMar>
            <w:vAlign w:val="center"/>
          </w:tcPr>
          <w:p>
            <w:pPr>
              <w:spacing w:after="0" w:before="0" w:line="276"/>
            </w:pPr>
            <w:r>
              <w:rPr>
                <w:rFonts w:ascii="Arial" w:cs="Arial" w:eastAsia="Arial" w:hAnsi="Arial"/>
                <w:b/>
                <w:bCs/>
                <w:color w:val="FFFFFF"/>
                <w:sz w:val="20"/>
                <w:szCs w:val="20"/>
              </w:rPr>
              <w:t xml:space="preserve">Chapters for this topic</w:t>
            </w:r>
          </w:p>
        </w:tc>
      </w:tr>
      <w:tr>
        <w:tc>
          <w:tcPr>
            <w:tcW w:type="dxa" w:w="4059"/>
            <w:shd w:fill="F1F5F9" w:color="auto" w:val="clear"/>
            <w:tcMar>
              <w:top w:type="dxa" w:w="60"/>
              <w:left w:type="dxa" w:w="100"/>
              <w:bottom w:type="dxa" w:w="60"/>
              <w:right w:type="dxa" w:w="100"/>
            </w:tcMar>
            <w:vAlign w:val="center"/>
          </w:tcPr>
          <w:p>
            <w:pPr>
              <w:spacing w:after="0" w:before="0" w:line="276"/>
            </w:pPr>
            <w:r>
              <w:rPr>
                <w:rFonts w:ascii="Arial" w:cs="Arial" w:eastAsia="Arial" w:hAnsi="Arial"/>
                <w:b/>
                <w:bCs/>
                <w:color w:val="1F2937"/>
                <w:sz w:val="20"/>
                <w:szCs w:val="20"/>
              </w:rPr>
              <w:t xml:space="preserve">E. V. Anslyn &amp; D. A. Dougherty, Modern Physical Organic Chemistry (University Science Books, 2006)</w:t>
            </w:r>
          </w:p>
        </w:tc>
        <w:tc>
          <w:tcPr>
            <w:tcW w:type="dxa" w:w="5581"/>
            <w:shd w:fill="FFFFFF" w:color="auto" w:val="clear"/>
            <w:tcMar>
              <w:top w:type="dxa" w:w="60"/>
              <w:left w:type="dxa" w:w="100"/>
              <w:bottom w:type="dxa" w:w="60"/>
              <w:right w:type="dxa" w:w="100"/>
            </w:tcMar>
            <w:vAlign w:val="center"/>
          </w:tcPr>
          <w:p>
            <w:pPr>
              <w:spacing w:after="0" w:before="0" w:line="276"/>
            </w:pPr>
            <w:r>
              <w:rPr>
                <w:rFonts w:ascii="Arial" w:cs="Arial" w:eastAsia="Arial" w:hAnsi="Arial"/>
                <w:b w:val="false"/>
                <w:bCs w:val="false"/>
                <w:color w:val="1F2937"/>
                <w:sz w:val="20"/>
                <w:szCs w:val="20"/>
              </w:rPr>
              <w:t xml:space="preserve">8 (Hammett/LFERs), 2 (aromaticity criteria), 7 (isotope effects)</w:t>
            </w:r>
          </w:p>
        </w:tc>
      </w:tr>
      <w:tr>
        <w:tc>
          <w:tcPr>
            <w:tcW w:type="dxa" w:w="4059"/>
            <w:shd w:fill="F1F5F9" w:color="auto" w:val="clear"/>
            <w:tcMar>
              <w:top w:type="dxa" w:w="60"/>
              <w:left w:type="dxa" w:w="100"/>
              <w:bottom w:type="dxa" w:w="60"/>
              <w:right w:type="dxa" w:w="100"/>
            </w:tcMar>
            <w:vAlign w:val="center"/>
          </w:tcPr>
          <w:p>
            <w:pPr>
              <w:spacing w:after="0" w:before="0" w:line="276"/>
            </w:pPr>
            <w:r>
              <w:rPr>
                <w:rFonts w:ascii="Arial" w:cs="Arial" w:eastAsia="Arial" w:hAnsi="Arial"/>
                <w:b/>
                <w:bCs/>
                <w:color w:val="1F2937"/>
                <w:sz w:val="20"/>
                <w:szCs w:val="20"/>
              </w:rPr>
              <w:t xml:space="preserve">F. A. Carey &amp; R. J. Sundberg, Advanced Organic Chemistry Part A, 5th ed. (Springer, 2007)</w:t>
            </w:r>
          </w:p>
        </w:tc>
        <w:tc>
          <w:tcPr>
            <w:tcW w:type="dxa" w:w="5581"/>
            <w:shd w:fill="FFFFFF" w:color="auto" w:val="clear"/>
            <w:tcMar>
              <w:top w:type="dxa" w:w="60"/>
              <w:left w:type="dxa" w:w="100"/>
              <w:bottom w:type="dxa" w:w="60"/>
              <w:right w:type="dxa" w:w="100"/>
            </w:tcMar>
            <w:vAlign w:val="center"/>
          </w:tcPr>
          <w:p>
            <w:pPr>
              <w:spacing w:after="0" w:before="0" w:line="276"/>
            </w:pPr>
            <w:r>
              <w:rPr>
                <w:rFonts w:ascii="Arial" w:cs="Arial" w:eastAsia="Arial" w:hAnsi="Arial"/>
                <w:b w:val="false"/>
                <w:bCs w:val="false"/>
                <w:color w:val="1F2937"/>
                <w:sz w:val="20"/>
                <w:szCs w:val="20"/>
              </w:rPr>
              <w:t xml:space="preserve">9 'Aromaticity'; Part B ch. 11 'Aromatic substitution reactions'</w:t>
            </w:r>
          </w:p>
        </w:tc>
      </w:tr>
      <w:tr>
        <w:tc>
          <w:tcPr>
            <w:tcW w:type="dxa" w:w="4059"/>
            <w:shd w:fill="F1F5F9" w:color="auto" w:val="clear"/>
            <w:tcMar>
              <w:top w:type="dxa" w:w="60"/>
              <w:left w:type="dxa" w:w="100"/>
              <w:bottom w:type="dxa" w:w="60"/>
              <w:right w:type="dxa" w:w="100"/>
            </w:tcMar>
            <w:vAlign w:val="center"/>
          </w:tcPr>
          <w:p>
            <w:pPr>
              <w:spacing w:after="0" w:before="0" w:line="276"/>
            </w:pPr>
            <w:r>
              <w:rPr>
                <w:rFonts w:ascii="Arial" w:cs="Arial" w:eastAsia="Arial" w:hAnsi="Arial"/>
                <w:b/>
                <w:bCs/>
                <w:color w:val="1F2937"/>
                <w:sz w:val="20"/>
                <w:szCs w:val="20"/>
              </w:rPr>
              <w:t xml:space="preserve">J. A. Joule &amp; K. Mills, Heterocyclic Chemistry, 5th ed. (Wiley, 2010)</w:t>
            </w:r>
          </w:p>
        </w:tc>
        <w:tc>
          <w:tcPr>
            <w:tcW w:type="dxa" w:w="5581"/>
            <w:shd w:fill="FFFFFF" w:color="auto" w:val="clear"/>
            <w:tcMar>
              <w:top w:type="dxa" w:w="60"/>
              <w:left w:type="dxa" w:w="100"/>
              <w:bottom w:type="dxa" w:w="60"/>
              <w:right w:type="dxa" w:w="100"/>
            </w:tcMar>
            <w:vAlign w:val="center"/>
          </w:tcPr>
          <w:p>
            <w:pPr>
              <w:spacing w:after="0" w:before="0" w:line="276"/>
            </w:pPr>
            <w:r>
              <w:rPr>
                <w:rFonts w:ascii="Arial" w:cs="Arial" w:eastAsia="Arial" w:hAnsi="Arial"/>
                <w:b w:val="false"/>
                <w:bCs w:val="false"/>
                <w:color w:val="1F2937"/>
                <w:sz w:val="20"/>
                <w:szCs w:val="20"/>
              </w:rPr>
              <w:t xml:space="preserve">the whole book — start with pyridine and pyrrole</w:t>
            </w:r>
          </w:p>
        </w:tc>
      </w:tr>
      <w:tr>
        <w:tc>
          <w:tcPr>
            <w:tcW w:type="dxa" w:w="4059"/>
            <w:shd w:fill="F1F5F9" w:color="auto" w:val="clear"/>
            <w:tcMar>
              <w:top w:type="dxa" w:w="60"/>
              <w:left w:type="dxa" w:w="100"/>
              <w:bottom w:type="dxa" w:w="60"/>
              <w:right w:type="dxa" w:w="100"/>
            </w:tcMar>
            <w:vAlign w:val="center"/>
          </w:tcPr>
          <w:p>
            <w:pPr>
              <w:spacing w:after="0" w:before="0" w:line="276"/>
            </w:pPr>
            <w:r>
              <w:rPr>
                <w:rFonts w:ascii="Arial" w:cs="Arial" w:eastAsia="Arial" w:hAnsi="Arial"/>
                <w:b/>
                <w:bCs/>
                <w:color w:val="1F2937"/>
                <w:sz w:val="20"/>
                <w:szCs w:val="20"/>
              </w:rPr>
              <w:t xml:space="preserve">M. B. Smith, March's Advanced Organic Chemistry, 8th ed. (Wiley, 2020)</w:t>
            </w:r>
          </w:p>
        </w:tc>
        <w:tc>
          <w:tcPr>
            <w:tcW w:type="dxa" w:w="5581"/>
            <w:shd w:fill="FFFFFF" w:color="auto" w:val="clear"/>
            <w:tcMar>
              <w:top w:type="dxa" w:w="60"/>
              <w:left w:type="dxa" w:w="100"/>
              <w:bottom w:type="dxa" w:w="60"/>
              <w:right w:type="dxa" w:w="100"/>
            </w:tcMar>
            <w:vAlign w:val="center"/>
          </w:tcPr>
          <w:p>
            <w:pPr>
              <w:spacing w:after="0" w:before="0" w:line="276"/>
            </w:pPr>
            <w:r>
              <w:rPr>
                <w:rFonts w:ascii="Arial" w:cs="Arial" w:eastAsia="Arial" w:hAnsi="Arial"/>
                <w:b w:val="false"/>
                <w:bCs w:val="false"/>
                <w:color w:val="1F2937"/>
                <w:sz w:val="20"/>
                <w:szCs w:val="20"/>
              </w:rPr>
              <w:t xml:space="preserve">2 (aromaticity), 11 (aromatic electrophilic substitution), 13 (aromatic nucleophilic substitution)</w:t>
            </w:r>
          </w:p>
        </w:tc>
      </w:tr>
      <w:tr>
        <w:tc>
          <w:tcPr>
            <w:tcW w:type="dxa" w:w="4059"/>
            <w:shd w:fill="F1F5F9" w:color="auto" w:val="clear"/>
            <w:tcMar>
              <w:top w:type="dxa" w:w="60"/>
              <w:left w:type="dxa" w:w="100"/>
              <w:bottom w:type="dxa" w:w="60"/>
              <w:right w:type="dxa" w:w="100"/>
            </w:tcMar>
            <w:vAlign w:val="center"/>
          </w:tcPr>
          <w:p>
            <w:pPr>
              <w:spacing w:after="0" w:before="0" w:line="276"/>
            </w:pPr>
            <w:r>
              <w:rPr>
                <w:rFonts w:ascii="Arial" w:cs="Arial" w:eastAsia="Arial" w:hAnsi="Arial"/>
                <w:b/>
                <w:bCs/>
                <w:color w:val="1F2937"/>
                <w:sz w:val="20"/>
                <w:szCs w:val="20"/>
              </w:rPr>
              <w:t xml:space="preserve">R. Taylor, Electrophilic Aromatic Substitution (Wiley, 1990)</w:t>
            </w:r>
          </w:p>
        </w:tc>
        <w:tc>
          <w:tcPr>
            <w:tcW w:type="dxa" w:w="5581"/>
            <w:shd w:fill="FFFFFF" w:color="auto" w:val="clear"/>
            <w:tcMar>
              <w:top w:type="dxa" w:w="60"/>
              <w:left w:type="dxa" w:w="100"/>
              <w:bottom w:type="dxa" w:w="60"/>
              <w:right w:type="dxa" w:w="100"/>
            </w:tcMar>
            <w:vAlign w:val="center"/>
          </w:tcPr>
          <w:p>
            <w:pPr>
              <w:spacing w:after="0" w:before="0" w:line="276"/>
            </w:pPr>
            <w:r>
              <w:rPr>
                <w:rFonts w:ascii="Arial" w:cs="Arial" w:eastAsia="Arial" w:hAnsi="Arial"/>
                <w:b w:val="false"/>
                <w:bCs w:val="false"/>
                <w:color w:val="1F2937"/>
                <w:sz w:val="20"/>
                <w:szCs w:val="20"/>
              </w:rPr>
              <w:t xml:space="preserve">the data monograph</w:t>
            </w:r>
          </w:p>
        </w:tc>
      </w:tr>
      <w:tr>
        <w:tc>
          <w:tcPr>
            <w:tcW w:type="dxa" w:w="4059"/>
            <w:shd w:fill="F1F5F9" w:color="auto" w:val="clear"/>
            <w:tcMar>
              <w:top w:type="dxa" w:w="60"/>
              <w:left w:type="dxa" w:w="100"/>
              <w:bottom w:type="dxa" w:w="60"/>
              <w:right w:type="dxa" w:w="100"/>
            </w:tcMar>
            <w:vAlign w:val="center"/>
          </w:tcPr>
          <w:p>
            <w:pPr>
              <w:spacing w:after="0" w:before="0" w:line="276"/>
            </w:pPr>
            <w:r>
              <w:rPr>
                <w:rFonts w:ascii="Arial" w:cs="Arial" w:eastAsia="Arial" w:hAnsi="Arial"/>
                <w:b/>
                <w:bCs/>
                <w:color w:val="1F2937"/>
                <w:sz w:val="20"/>
                <w:szCs w:val="20"/>
              </w:rPr>
              <w:t xml:space="preserve">E. Clar, The Aromatic Sextet (Wiley, 1972)</w:t>
            </w:r>
          </w:p>
        </w:tc>
        <w:tc>
          <w:tcPr>
            <w:tcW w:type="dxa" w:w="5581"/>
            <w:shd w:fill="FFFFFF" w:color="auto" w:val="clear"/>
            <w:tcMar>
              <w:top w:type="dxa" w:w="60"/>
              <w:left w:type="dxa" w:w="100"/>
              <w:bottom w:type="dxa" w:w="60"/>
              <w:right w:type="dxa" w:w="100"/>
            </w:tcMar>
            <w:vAlign w:val="center"/>
          </w:tcPr>
          <w:p>
            <w:pPr>
              <w:spacing w:after="0" w:before="0" w:line="276"/>
            </w:pPr>
            <w:r>
              <w:rPr>
                <w:rFonts w:ascii="Arial" w:cs="Arial" w:eastAsia="Arial" w:hAnsi="Arial"/>
                <w:b w:val="false"/>
                <w:bCs w:val="false"/>
                <w:color w:val="1F2937"/>
                <w:sz w:val="20"/>
                <w:szCs w:val="20"/>
              </w:rPr>
              <w:t xml:space="preserve">polycyclic aromatics, beautifully illustrated</w:t>
            </w:r>
          </w:p>
        </w:tc>
      </w:tr>
    </w:tbl>
    <w:p>
      <w:pPr>
        <w:spacing w:after="40" w:before="0" w:line="276"/>
      </w:pPr>
      <w:r>
        <w:rPr>
          <w:rFonts w:ascii="Arial" w:cs="Arial" w:eastAsia="Arial" w:hAnsi="Arial"/>
          <w:color w:val="1F2937"/>
          <w:sz w:val="22"/>
          <w:szCs w:val="22"/>
        </w:rPr>
        <w:t xml:space="preserve"> </w:t>
      </w:r>
    </w:p>
    <w:p>
      <w:pPr>
        <w:keepNext/>
        <w:spacing w:after="80" w:before="200" w:line="276"/>
      </w:pPr>
      <w:r>
        <w:rPr>
          <w:rFonts w:ascii="Arial" w:cs="Arial" w:eastAsia="Arial" w:hAnsi="Arial"/>
          <w:b/>
          <w:bCs/>
          <w:color w:val="0F766E"/>
          <w:sz w:val="26"/>
          <w:szCs w:val="26"/>
        </w:rPr>
        <w:t xml:space="preserve">Primary literature — the papers that made the subject</w:t>
      </w:r>
    </w:p>
    <w:tbl>
      <w:tblPr>
        <w:tblW w:type="dxa" w:w="9640"/>
        <w:tblBorders>
          <w:top w:val="single" w:color="CBD5E1" w:sz="6"/>
          <w:left w:val="single" w:color="CBD5E1" w:sz="6"/>
          <w:bottom w:val="single" w:color="CBD5E1" w:sz="6"/>
          <w:right w:val="single" w:color="CBD5E1" w:sz="6"/>
          <w:insideH w:val="single" w:color="CBD5E1" w:sz="6"/>
          <w:insideV w:val="single" w:color="CBD5E1" w:sz="6"/>
        </w:tblBorders>
      </w:tblPr>
      <w:tblGrid>
        <w:gridCol w:w="4784"/>
        <w:gridCol w:w="4856"/>
      </w:tblGrid>
      <w:tr>
        <w:trPr>
          <w:tblHeader/>
        </w:trPr>
        <w:tc>
          <w:tcPr>
            <w:tcW w:type="dxa" w:w="4784"/>
            <w:shd w:fill="0F766E" w:color="auto" w:val="clear"/>
            <w:tcMar>
              <w:top w:type="dxa" w:w="60"/>
              <w:left w:type="dxa" w:w="100"/>
              <w:bottom w:type="dxa" w:w="60"/>
              <w:right w:type="dxa" w:w="100"/>
            </w:tcMar>
            <w:vAlign w:val="center"/>
          </w:tcPr>
          <w:p>
            <w:pPr>
              <w:spacing w:after="0" w:before="0" w:line="276"/>
            </w:pPr>
            <w:r>
              <w:rPr>
                <w:rFonts w:ascii="Arial" w:cs="Arial" w:eastAsia="Arial" w:hAnsi="Arial"/>
                <w:b/>
                <w:bCs/>
                <w:color w:val="FFFFFF"/>
                <w:sz w:val="20"/>
                <w:szCs w:val="20"/>
              </w:rPr>
              <w:t xml:space="preserve">Paper</w:t>
            </w:r>
          </w:p>
        </w:tc>
        <w:tc>
          <w:tcPr>
            <w:tcW w:type="dxa" w:w="4856"/>
            <w:shd w:fill="0F766E" w:color="auto" w:val="clear"/>
            <w:tcMar>
              <w:top w:type="dxa" w:w="60"/>
              <w:left w:type="dxa" w:w="100"/>
              <w:bottom w:type="dxa" w:w="60"/>
              <w:right w:type="dxa" w:w="100"/>
            </w:tcMar>
            <w:vAlign w:val="center"/>
          </w:tcPr>
          <w:p>
            <w:pPr>
              <w:spacing w:after="0" w:before="0" w:line="276"/>
            </w:pPr>
            <w:r>
              <w:rPr>
                <w:rFonts w:ascii="Arial" w:cs="Arial" w:eastAsia="Arial" w:hAnsi="Arial"/>
                <w:b/>
                <w:bCs/>
                <w:color w:val="FFFFFF"/>
                <w:sz w:val="20"/>
                <w:szCs w:val="20"/>
              </w:rPr>
              <w:t xml:space="preserve">What it did</w:t>
            </w:r>
          </w:p>
        </w:tc>
      </w:tr>
      <w:tr>
        <w:tc>
          <w:tcPr>
            <w:tcW w:type="dxa" w:w="4784"/>
            <w:shd w:fill="F1F5F9" w:color="auto" w:val="clear"/>
            <w:tcMar>
              <w:top w:type="dxa" w:w="60"/>
              <w:left w:type="dxa" w:w="100"/>
              <w:bottom w:type="dxa" w:w="60"/>
              <w:right w:type="dxa" w:w="100"/>
            </w:tcMar>
            <w:vAlign w:val="center"/>
          </w:tcPr>
          <w:p>
            <w:pPr>
              <w:spacing w:after="0" w:before="0" w:line="276"/>
            </w:pPr>
            <w:r>
              <w:rPr>
                <w:rFonts w:ascii="Arial" w:cs="Arial" w:eastAsia="Arial" w:hAnsi="Arial"/>
                <w:b/>
                <w:bCs/>
                <w:color w:val="1F2937"/>
                <w:sz w:val="20"/>
                <w:szCs w:val="20"/>
              </w:rPr>
              <w:t xml:space="preserve">A. Kekulé, Bull. Soc. Chim. Fr. 1865, 3, 98; Ann. 1866, 137, 129</w:t>
            </w:r>
          </w:p>
        </w:tc>
        <w:tc>
          <w:tcPr>
            <w:tcW w:type="dxa" w:w="4856"/>
            <w:shd w:fill="FFFFFF" w:color="auto" w:val="clear"/>
            <w:tcMar>
              <w:top w:type="dxa" w:w="60"/>
              <w:left w:type="dxa" w:w="100"/>
              <w:bottom w:type="dxa" w:w="60"/>
              <w:right w:type="dxa" w:w="100"/>
            </w:tcMar>
            <w:vAlign w:val="center"/>
          </w:tcPr>
          <w:p>
            <w:pPr>
              <w:spacing w:after="0" w:before="0" w:line="276"/>
            </w:pPr>
            <w:r>
              <w:rPr>
                <w:rFonts w:ascii="Arial" w:cs="Arial" w:eastAsia="Arial" w:hAnsi="Arial"/>
                <w:b w:val="false"/>
                <w:bCs w:val="false"/>
                <w:color w:val="1F2937"/>
                <w:sz w:val="20"/>
                <w:szCs w:val="20"/>
              </w:rPr>
              <w:t xml:space="preserve">the ring structure of benzene</w:t>
            </w:r>
          </w:p>
        </w:tc>
      </w:tr>
      <w:tr>
        <w:tc>
          <w:tcPr>
            <w:tcW w:type="dxa" w:w="4784"/>
            <w:shd w:fill="F1F5F9" w:color="auto" w:val="clear"/>
            <w:tcMar>
              <w:top w:type="dxa" w:w="60"/>
              <w:left w:type="dxa" w:w="100"/>
              <w:bottom w:type="dxa" w:w="60"/>
              <w:right w:type="dxa" w:w="100"/>
            </w:tcMar>
            <w:vAlign w:val="center"/>
          </w:tcPr>
          <w:p>
            <w:pPr>
              <w:spacing w:after="0" w:before="0" w:line="276"/>
            </w:pPr>
            <w:r>
              <w:rPr>
                <w:rFonts w:ascii="Arial" w:cs="Arial" w:eastAsia="Arial" w:hAnsi="Arial"/>
                <w:b/>
                <w:bCs/>
                <w:color w:val="1F2937"/>
                <w:sz w:val="20"/>
                <w:szCs w:val="20"/>
              </w:rPr>
              <w:t xml:space="preserve">K. Lonsdale, Proc. R. Soc. A 1929, 123, 494</w:t>
            </w:r>
          </w:p>
        </w:tc>
        <w:tc>
          <w:tcPr>
            <w:tcW w:type="dxa" w:w="4856"/>
            <w:shd w:fill="FFFFFF" w:color="auto" w:val="clear"/>
            <w:tcMar>
              <w:top w:type="dxa" w:w="60"/>
              <w:left w:type="dxa" w:w="100"/>
              <w:bottom w:type="dxa" w:w="60"/>
              <w:right w:type="dxa" w:w="100"/>
            </w:tcMar>
            <w:vAlign w:val="center"/>
          </w:tcPr>
          <w:p>
            <w:pPr>
              <w:spacing w:after="0" w:before="0" w:line="276"/>
            </w:pPr>
            <w:r>
              <w:rPr>
                <w:rFonts w:ascii="Arial" w:cs="Arial" w:eastAsia="Arial" w:hAnsi="Arial"/>
                <w:b w:val="false"/>
                <w:bCs w:val="false"/>
                <w:color w:val="1F2937"/>
                <w:sz w:val="20"/>
                <w:szCs w:val="20"/>
              </w:rPr>
              <w:t xml:space="preserve">X-ray structure of hexamethylbenzene: flat, regular hexagon</w:t>
            </w:r>
          </w:p>
        </w:tc>
      </w:tr>
      <w:tr>
        <w:tc>
          <w:tcPr>
            <w:tcW w:type="dxa" w:w="4784"/>
            <w:shd w:fill="F1F5F9" w:color="auto" w:val="clear"/>
            <w:tcMar>
              <w:top w:type="dxa" w:w="60"/>
              <w:left w:type="dxa" w:w="100"/>
              <w:bottom w:type="dxa" w:w="60"/>
              <w:right w:type="dxa" w:w="100"/>
            </w:tcMar>
            <w:vAlign w:val="center"/>
          </w:tcPr>
          <w:p>
            <w:pPr>
              <w:spacing w:after="0" w:before="0" w:line="276"/>
            </w:pPr>
            <w:r>
              <w:rPr>
                <w:rFonts w:ascii="Arial" w:cs="Arial" w:eastAsia="Arial" w:hAnsi="Arial"/>
                <w:b/>
                <w:bCs/>
                <w:color w:val="1F2937"/>
                <w:sz w:val="20"/>
                <w:szCs w:val="20"/>
              </w:rPr>
              <w:t xml:space="preserve">E. Hückel, Z. Physik 1931, 70, 204</w:t>
            </w:r>
          </w:p>
        </w:tc>
        <w:tc>
          <w:tcPr>
            <w:tcW w:type="dxa" w:w="4856"/>
            <w:shd w:fill="FFFFFF" w:color="auto" w:val="clear"/>
            <w:tcMar>
              <w:top w:type="dxa" w:w="60"/>
              <w:left w:type="dxa" w:w="100"/>
              <w:bottom w:type="dxa" w:w="60"/>
              <w:right w:type="dxa" w:w="100"/>
            </w:tcMar>
            <w:vAlign w:val="center"/>
          </w:tcPr>
          <w:p>
            <w:pPr>
              <w:spacing w:after="0" w:before="0" w:line="276"/>
            </w:pPr>
            <w:r>
              <w:rPr>
                <w:rFonts w:ascii="Arial" w:cs="Arial" w:eastAsia="Arial" w:hAnsi="Arial"/>
                <w:b w:val="false"/>
                <w:bCs w:val="false"/>
                <w:color w:val="1F2937"/>
                <w:sz w:val="20"/>
                <w:szCs w:val="20"/>
              </w:rPr>
              <w:t xml:space="preserve">the 4n + 2 rule from MO theory</w:t>
            </w:r>
          </w:p>
        </w:tc>
      </w:tr>
      <w:tr>
        <w:tc>
          <w:tcPr>
            <w:tcW w:type="dxa" w:w="4784"/>
            <w:shd w:fill="F1F5F9" w:color="auto" w:val="clear"/>
            <w:tcMar>
              <w:top w:type="dxa" w:w="60"/>
              <w:left w:type="dxa" w:w="100"/>
              <w:bottom w:type="dxa" w:w="60"/>
              <w:right w:type="dxa" w:w="100"/>
            </w:tcMar>
            <w:vAlign w:val="center"/>
          </w:tcPr>
          <w:p>
            <w:pPr>
              <w:spacing w:after="0" w:before="0" w:line="276"/>
            </w:pPr>
            <w:r>
              <w:rPr>
                <w:rFonts w:ascii="Arial" w:cs="Arial" w:eastAsia="Arial" w:hAnsi="Arial"/>
                <w:b/>
                <w:bCs/>
                <w:color w:val="1F2937"/>
                <w:sz w:val="20"/>
                <w:szCs w:val="20"/>
              </w:rPr>
              <w:t xml:space="preserve">L. P. Hammett, J. Am. Chem. Soc. 1937, 59, 96</w:t>
            </w:r>
          </w:p>
        </w:tc>
        <w:tc>
          <w:tcPr>
            <w:tcW w:type="dxa" w:w="4856"/>
            <w:shd w:fill="FFFFFF" w:color="auto" w:val="clear"/>
            <w:tcMar>
              <w:top w:type="dxa" w:w="60"/>
              <w:left w:type="dxa" w:w="100"/>
              <w:bottom w:type="dxa" w:w="60"/>
              <w:right w:type="dxa" w:w="100"/>
            </w:tcMar>
            <w:vAlign w:val="center"/>
          </w:tcPr>
          <w:p>
            <w:pPr>
              <w:spacing w:after="0" w:before="0" w:line="276"/>
            </w:pPr>
            <w:r>
              <w:rPr>
                <w:rFonts w:ascii="Arial" w:cs="Arial" w:eastAsia="Arial" w:hAnsi="Arial"/>
                <w:b w:val="false"/>
                <w:bCs w:val="false"/>
                <w:color w:val="1F2937"/>
                <w:sz w:val="20"/>
                <w:szCs w:val="20"/>
              </w:rPr>
              <w:t xml:space="preserve">the Hammett equation</w:t>
            </w:r>
          </w:p>
        </w:tc>
      </w:tr>
      <w:tr>
        <w:tc>
          <w:tcPr>
            <w:tcW w:type="dxa" w:w="4784"/>
            <w:shd w:fill="F1F5F9" w:color="auto" w:val="clear"/>
            <w:tcMar>
              <w:top w:type="dxa" w:w="60"/>
              <w:left w:type="dxa" w:w="100"/>
              <w:bottom w:type="dxa" w:w="60"/>
              <w:right w:type="dxa" w:w="100"/>
            </w:tcMar>
            <w:vAlign w:val="center"/>
          </w:tcPr>
          <w:p>
            <w:pPr>
              <w:spacing w:after="0" w:before="0" w:line="276"/>
            </w:pPr>
            <w:r>
              <w:rPr>
                <w:rFonts w:ascii="Arial" w:cs="Arial" w:eastAsia="Arial" w:hAnsi="Arial"/>
                <w:b/>
                <w:bCs/>
                <w:color w:val="1F2937"/>
                <w:sz w:val="20"/>
                <w:szCs w:val="20"/>
              </w:rPr>
              <w:t xml:space="preserve">G. W. Wheland, J. Am. Chem. Soc. 1942, 64, 900</w:t>
            </w:r>
          </w:p>
        </w:tc>
        <w:tc>
          <w:tcPr>
            <w:tcW w:type="dxa" w:w="4856"/>
            <w:shd w:fill="FFFFFF" w:color="auto" w:val="clear"/>
            <w:tcMar>
              <w:top w:type="dxa" w:w="60"/>
              <w:left w:type="dxa" w:w="100"/>
              <w:bottom w:type="dxa" w:w="60"/>
              <w:right w:type="dxa" w:w="100"/>
            </w:tcMar>
            <w:vAlign w:val="center"/>
          </w:tcPr>
          <w:p>
            <w:pPr>
              <w:spacing w:after="0" w:before="0" w:line="276"/>
            </w:pPr>
            <w:r>
              <w:rPr>
                <w:rFonts w:ascii="Arial" w:cs="Arial" w:eastAsia="Arial" w:hAnsi="Arial"/>
                <w:b w:val="false"/>
                <w:bCs w:val="false"/>
                <w:color w:val="1F2937"/>
                <w:sz w:val="20"/>
                <w:szCs w:val="20"/>
              </w:rPr>
              <w:t xml:space="preserve">the σ-complex intermediate</w:t>
            </w:r>
          </w:p>
        </w:tc>
      </w:tr>
      <w:tr>
        <w:tc>
          <w:tcPr>
            <w:tcW w:type="dxa" w:w="4784"/>
            <w:shd w:fill="F1F5F9" w:color="auto" w:val="clear"/>
            <w:tcMar>
              <w:top w:type="dxa" w:w="60"/>
              <w:left w:type="dxa" w:w="100"/>
              <w:bottom w:type="dxa" w:w="60"/>
              <w:right w:type="dxa" w:w="100"/>
            </w:tcMar>
            <w:vAlign w:val="center"/>
          </w:tcPr>
          <w:p>
            <w:pPr>
              <w:spacing w:after="0" w:before="0" w:line="276"/>
            </w:pPr>
            <w:r>
              <w:rPr>
                <w:rFonts w:ascii="Arial" w:cs="Arial" w:eastAsia="Arial" w:hAnsi="Arial"/>
                <w:b/>
                <w:bCs/>
                <w:color w:val="1F2937"/>
                <w:sz w:val="20"/>
                <w:szCs w:val="20"/>
              </w:rPr>
              <w:t xml:space="preserve">R. J. Gillespie, E. D. Hughes &amp; C. K. Ingold, J. Chem. Soc. 1950, 2552 (and the Ingold series)</w:t>
            </w:r>
          </w:p>
        </w:tc>
        <w:tc>
          <w:tcPr>
            <w:tcW w:type="dxa" w:w="4856"/>
            <w:shd w:fill="FFFFFF" w:color="auto" w:val="clear"/>
            <w:tcMar>
              <w:top w:type="dxa" w:w="60"/>
              <w:left w:type="dxa" w:w="100"/>
              <w:bottom w:type="dxa" w:w="60"/>
              <w:right w:type="dxa" w:w="100"/>
            </w:tcMar>
            <w:vAlign w:val="center"/>
          </w:tcPr>
          <w:p>
            <w:pPr>
              <w:spacing w:after="0" w:before="0" w:line="276"/>
            </w:pPr>
            <w:r>
              <w:rPr>
                <w:rFonts w:ascii="Arial" w:cs="Arial" w:eastAsia="Arial" w:hAnsi="Arial"/>
                <w:b w:val="false"/>
                <w:bCs w:val="false"/>
                <w:color w:val="1F2937"/>
                <w:sz w:val="20"/>
                <w:szCs w:val="20"/>
              </w:rPr>
              <w:t xml:space="preserve">the nitronium ion — cryoscopy and spectroscopy</w:t>
            </w:r>
          </w:p>
        </w:tc>
      </w:tr>
      <w:tr>
        <w:tc>
          <w:tcPr>
            <w:tcW w:type="dxa" w:w="4784"/>
            <w:shd w:fill="F1F5F9" w:color="auto" w:val="clear"/>
            <w:tcMar>
              <w:top w:type="dxa" w:w="60"/>
              <w:left w:type="dxa" w:w="100"/>
              <w:bottom w:type="dxa" w:w="60"/>
              <w:right w:type="dxa" w:w="100"/>
            </w:tcMar>
            <w:vAlign w:val="center"/>
          </w:tcPr>
          <w:p>
            <w:pPr>
              <w:spacing w:after="0" w:before="0" w:line="276"/>
            </w:pPr>
            <w:r>
              <w:rPr>
                <w:rFonts w:ascii="Arial" w:cs="Arial" w:eastAsia="Arial" w:hAnsi="Arial"/>
                <w:b/>
                <w:bCs/>
                <w:color w:val="1F2937"/>
                <w:sz w:val="20"/>
                <w:szCs w:val="20"/>
              </w:rPr>
              <w:t xml:space="preserve">L. Melander, Arkiv Kemi 1950, 2, 211</w:t>
            </w:r>
          </w:p>
        </w:tc>
        <w:tc>
          <w:tcPr>
            <w:tcW w:type="dxa" w:w="4856"/>
            <w:shd w:fill="FFFFFF" w:color="auto" w:val="clear"/>
            <w:tcMar>
              <w:top w:type="dxa" w:w="60"/>
              <w:left w:type="dxa" w:w="100"/>
              <w:bottom w:type="dxa" w:w="60"/>
              <w:right w:type="dxa" w:w="100"/>
            </w:tcMar>
            <w:vAlign w:val="center"/>
          </w:tcPr>
          <w:p>
            <w:pPr>
              <w:spacing w:after="0" w:before="0" w:line="276"/>
            </w:pPr>
            <w:r>
              <w:rPr>
                <w:rFonts w:ascii="Arial" w:cs="Arial" w:eastAsia="Arial" w:hAnsi="Arial"/>
                <w:b w:val="false"/>
                <w:bCs w:val="false"/>
                <w:color w:val="1F2937"/>
                <w:sz w:val="20"/>
                <w:szCs w:val="20"/>
              </w:rPr>
              <w:t xml:space="preserve">no isotope effect in nitration</w:t>
            </w:r>
          </w:p>
        </w:tc>
      </w:tr>
      <w:tr>
        <w:tc>
          <w:tcPr>
            <w:tcW w:type="dxa" w:w="4784"/>
            <w:shd w:fill="F1F5F9" w:color="auto" w:val="clear"/>
            <w:tcMar>
              <w:top w:type="dxa" w:w="60"/>
              <w:left w:type="dxa" w:w="100"/>
              <w:bottom w:type="dxa" w:w="60"/>
              <w:right w:type="dxa" w:w="100"/>
            </w:tcMar>
            <w:vAlign w:val="center"/>
          </w:tcPr>
          <w:p>
            <w:pPr>
              <w:spacing w:after="0" w:before="0" w:line="276"/>
            </w:pPr>
            <w:r>
              <w:rPr>
                <w:rFonts w:ascii="Arial" w:cs="Arial" w:eastAsia="Arial" w:hAnsi="Arial"/>
                <w:b/>
                <w:bCs/>
                <w:color w:val="1F2937"/>
                <w:sz w:val="20"/>
                <w:szCs w:val="20"/>
              </w:rPr>
              <w:t xml:space="preserve">J. D. Roberts et al., J. Am. Chem. Soc. 1953, 75, 3290</w:t>
            </w:r>
          </w:p>
        </w:tc>
        <w:tc>
          <w:tcPr>
            <w:tcW w:type="dxa" w:w="4856"/>
            <w:shd w:fill="FFFFFF" w:color="auto" w:val="clear"/>
            <w:tcMar>
              <w:top w:type="dxa" w:w="60"/>
              <w:left w:type="dxa" w:w="100"/>
              <w:bottom w:type="dxa" w:w="60"/>
              <w:right w:type="dxa" w:w="100"/>
            </w:tcMar>
            <w:vAlign w:val="center"/>
          </w:tcPr>
          <w:p>
            <w:pPr>
              <w:spacing w:after="0" w:before="0" w:line="276"/>
            </w:pPr>
            <w:r>
              <w:rPr>
                <w:rFonts w:ascii="Arial" w:cs="Arial" w:eastAsia="Arial" w:hAnsi="Arial"/>
                <w:b w:val="false"/>
                <w:bCs w:val="false"/>
                <w:color w:val="1F2937"/>
                <w:sz w:val="20"/>
                <w:szCs w:val="20"/>
              </w:rPr>
              <w:t xml:space="preserve">benzyne discovered by ¹⁴C labelling</w:t>
            </w:r>
          </w:p>
        </w:tc>
      </w:tr>
      <w:tr>
        <w:tc>
          <w:tcPr>
            <w:tcW w:type="dxa" w:w="4784"/>
            <w:shd w:fill="F1F5F9" w:color="auto" w:val="clear"/>
            <w:tcMar>
              <w:top w:type="dxa" w:w="60"/>
              <w:left w:type="dxa" w:w="100"/>
              <w:bottom w:type="dxa" w:w="60"/>
              <w:right w:type="dxa" w:w="100"/>
            </w:tcMar>
            <w:vAlign w:val="center"/>
          </w:tcPr>
          <w:p>
            <w:pPr>
              <w:spacing w:after="0" w:before="0" w:line="276"/>
            </w:pPr>
            <w:r>
              <w:rPr>
                <w:rFonts w:ascii="Arial" w:cs="Arial" w:eastAsia="Arial" w:hAnsi="Arial"/>
                <w:b/>
                <w:bCs/>
                <w:color w:val="1F2937"/>
                <w:sz w:val="20"/>
                <w:szCs w:val="20"/>
              </w:rPr>
              <w:t xml:space="preserve">H. C. Brown &amp; Y. Okamoto, J. Am. Chem. Soc. 1958, 80, 4979</w:t>
            </w:r>
          </w:p>
        </w:tc>
        <w:tc>
          <w:tcPr>
            <w:tcW w:type="dxa" w:w="4856"/>
            <w:shd w:fill="FFFFFF" w:color="auto" w:val="clear"/>
            <w:tcMar>
              <w:top w:type="dxa" w:w="60"/>
              <w:left w:type="dxa" w:w="100"/>
              <w:bottom w:type="dxa" w:w="60"/>
              <w:right w:type="dxa" w:w="100"/>
            </w:tcMar>
            <w:vAlign w:val="center"/>
          </w:tcPr>
          <w:p>
            <w:pPr>
              <w:spacing w:after="0" w:before="0" w:line="276"/>
            </w:pPr>
            <w:r>
              <w:rPr>
                <w:rFonts w:ascii="Arial" w:cs="Arial" w:eastAsia="Arial" w:hAnsi="Arial"/>
                <w:b w:val="false"/>
                <w:bCs w:val="false"/>
                <w:color w:val="1F2937"/>
                <w:sz w:val="20"/>
                <w:szCs w:val="20"/>
              </w:rPr>
              <w:t xml:space="preserve">σ⁺ constants</w:t>
            </w:r>
          </w:p>
        </w:tc>
      </w:tr>
      <w:tr>
        <w:tc>
          <w:tcPr>
            <w:tcW w:type="dxa" w:w="4784"/>
            <w:shd w:fill="F1F5F9" w:color="auto" w:val="clear"/>
            <w:tcMar>
              <w:top w:type="dxa" w:w="60"/>
              <w:left w:type="dxa" w:w="100"/>
              <w:bottom w:type="dxa" w:w="60"/>
              <w:right w:type="dxa" w:w="100"/>
            </w:tcMar>
            <w:vAlign w:val="center"/>
          </w:tcPr>
          <w:p>
            <w:pPr>
              <w:spacing w:after="0" w:before="0" w:line="276"/>
            </w:pPr>
            <w:r>
              <w:rPr>
                <w:rFonts w:ascii="Arial" w:cs="Arial" w:eastAsia="Arial" w:hAnsi="Arial"/>
                <w:b/>
                <w:bCs/>
                <w:color w:val="1F2937"/>
                <w:sz w:val="20"/>
                <w:szCs w:val="20"/>
              </w:rPr>
              <w:t xml:space="preserve">G. A. Olah, Acc. Chem. Res. 1971, 4, 240</w:t>
            </w:r>
          </w:p>
        </w:tc>
        <w:tc>
          <w:tcPr>
            <w:tcW w:type="dxa" w:w="4856"/>
            <w:shd w:fill="FFFFFF" w:color="auto" w:val="clear"/>
            <w:tcMar>
              <w:top w:type="dxa" w:w="60"/>
              <w:left w:type="dxa" w:w="100"/>
              <w:bottom w:type="dxa" w:w="60"/>
              <w:right w:type="dxa" w:w="100"/>
            </w:tcMar>
            <w:vAlign w:val="center"/>
          </w:tcPr>
          <w:p>
            <w:pPr>
              <w:spacing w:after="0" w:before="0" w:line="276"/>
            </w:pPr>
            <w:r>
              <w:rPr>
                <w:rFonts w:ascii="Arial" w:cs="Arial" w:eastAsia="Arial" w:hAnsi="Arial"/>
                <w:b w:val="false"/>
                <w:bCs w:val="false"/>
                <w:color w:val="1F2937"/>
                <w:sz w:val="20"/>
                <w:szCs w:val="20"/>
              </w:rPr>
              <w:t xml:space="preserve">σ- and π-complexes observed directly</w:t>
            </w:r>
          </w:p>
        </w:tc>
      </w:tr>
      <w:tr>
        <w:tc>
          <w:tcPr>
            <w:tcW w:type="dxa" w:w="4784"/>
            <w:shd w:fill="F1F5F9" w:color="auto" w:val="clear"/>
            <w:tcMar>
              <w:top w:type="dxa" w:w="60"/>
              <w:left w:type="dxa" w:w="100"/>
              <w:bottom w:type="dxa" w:w="60"/>
              <w:right w:type="dxa" w:w="100"/>
            </w:tcMar>
            <w:vAlign w:val="center"/>
          </w:tcPr>
          <w:p>
            <w:pPr>
              <w:spacing w:after="0" w:before="0" w:line="276"/>
            </w:pPr>
            <w:r>
              <w:rPr>
                <w:rFonts w:ascii="Arial" w:cs="Arial" w:eastAsia="Arial" w:hAnsi="Arial"/>
                <w:b/>
                <w:bCs/>
                <w:color w:val="1F2937"/>
                <w:sz w:val="20"/>
                <w:szCs w:val="20"/>
              </w:rPr>
              <w:t xml:space="preserve">V. Snieckus, Chem. Rev. 1990, 90, 879</w:t>
            </w:r>
          </w:p>
        </w:tc>
        <w:tc>
          <w:tcPr>
            <w:tcW w:type="dxa" w:w="4856"/>
            <w:shd w:fill="FFFFFF" w:color="auto" w:val="clear"/>
            <w:tcMar>
              <w:top w:type="dxa" w:w="60"/>
              <w:left w:type="dxa" w:w="100"/>
              <w:bottom w:type="dxa" w:w="60"/>
              <w:right w:type="dxa" w:w="100"/>
            </w:tcMar>
            <w:vAlign w:val="center"/>
          </w:tcPr>
          <w:p>
            <w:pPr>
              <w:spacing w:after="0" w:before="0" w:line="276"/>
            </w:pPr>
            <w:r>
              <w:rPr>
                <w:rFonts w:ascii="Arial" w:cs="Arial" w:eastAsia="Arial" w:hAnsi="Arial"/>
                <w:b w:val="false"/>
                <w:bCs w:val="false"/>
                <w:color w:val="1F2937"/>
                <w:sz w:val="20"/>
                <w:szCs w:val="20"/>
              </w:rPr>
              <w:t xml:space="preserve">directed ortho-metalation</w:t>
            </w:r>
          </w:p>
        </w:tc>
      </w:tr>
      <w:tr>
        <w:tc>
          <w:tcPr>
            <w:tcW w:type="dxa" w:w="4784"/>
            <w:shd w:fill="F1F5F9" w:color="auto" w:val="clear"/>
            <w:tcMar>
              <w:top w:type="dxa" w:w="60"/>
              <w:left w:type="dxa" w:w="100"/>
              <w:bottom w:type="dxa" w:w="60"/>
              <w:right w:type="dxa" w:w="100"/>
            </w:tcMar>
            <w:vAlign w:val="center"/>
          </w:tcPr>
          <w:p>
            <w:pPr>
              <w:spacing w:after="0" w:before="0" w:line="276"/>
            </w:pPr>
            <w:r>
              <w:rPr>
                <w:rFonts w:ascii="Arial" w:cs="Arial" w:eastAsia="Arial" w:hAnsi="Arial"/>
                <w:b/>
                <w:bCs/>
                <w:color w:val="1F2937"/>
                <w:sz w:val="20"/>
                <w:szCs w:val="20"/>
              </w:rPr>
              <w:t xml:space="preserve">N. Miyaura &amp; A. Suzuki, Chem. Rev. 1995, 95, 2457</w:t>
            </w:r>
          </w:p>
        </w:tc>
        <w:tc>
          <w:tcPr>
            <w:tcW w:type="dxa" w:w="4856"/>
            <w:shd w:fill="FFFFFF" w:color="auto" w:val="clear"/>
            <w:tcMar>
              <w:top w:type="dxa" w:w="60"/>
              <w:left w:type="dxa" w:w="100"/>
              <w:bottom w:type="dxa" w:w="60"/>
              <w:right w:type="dxa" w:w="100"/>
            </w:tcMar>
            <w:vAlign w:val="center"/>
          </w:tcPr>
          <w:p>
            <w:pPr>
              <w:spacing w:after="0" w:before="0" w:line="276"/>
            </w:pPr>
            <w:r>
              <w:rPr>
                <w:rFonts w:ascii="Arial" w:cs="Arial" w:eastAsia="Arial" w:hAnsi="Arial"/>
                <w:b w:val="false"/>
                <w:bCs w:val="false"/>
                <w:color w:val="1F2937"/>
                <w:sz w:val="20"/>
                <w:szCs w:val="20"/>
              </w:rPr>
              <w:t xml:space="preserve">palladium cross-coupling</w:t>
            </w:r>
          </w:p>
        </w:tc>
      </w:tr>
      <w:tr>
        <w:tc>
          <w:tcPr>
            <w:tcW w:type="dxa" w:w="4784"/>
            <w:shd w:fill="F1F5F9" w:color="auto" w:val="clear"/>
            <w:tcMar>
              <w:top w:type="dxa" w:w="60"/>
              <w:left w:type="dxa" w:w="100"/>
              <w:bottom w:type="dxa" w:w="60"/>
              <w:right w:type="dxa" w:w="100"/>
            </w:tcMar>
            <w:vAlign w:val="center"/>
          </w:tcPr>
          <w:p>
            <w:pPr>
              <w:spacing w:after="0" w:before="0" w:line="276"/>
            </w:pPr>
            <w:r>
              <w:rPr>
                <w:rFonts w:ascii="Arial" w:cs="Arial" w:eastAsia="Arial" w:hAnsi="Arial"/>
                <w:b/>
                <w:bCs/>
                <w:color w:val="1F2937"/>
                <w:sz w:val="20"/>
                <w:szCs w:val="20"/>
              </w:rPr>
              <w:t xml:space="preserve">P. v. R. Schleyer et al., J. Am. Chem. Soc. 1996, 118, 6317</w:t>
            </w:r>
          </w:p>
        </w:tc>
        <w:tc>
          <w:tcPr>
            <w:tcW w:type="dxa" w:w="4856"/>
            <w:shd w:fill="FFFFFF" w:color="auto" w:val="clear"/>
            <w:tcMar>
              <w:top w:type="dxa" w:w="60"/>
              <w:left w:type="dxa" w:w="100"/>
              <w:bottom w:type="dxa" w:w="60"/>
              <w:right w:type="dxa" w:w="100"/>
            </w:tcMar>
            <w:vAlign w:val="center"/>
          </w:tcPr>
          <w:p>
            <w:pPr>
              <w:spacing w:after="0" w:before="0" w:line="276"/>
            </w:pPr>
            <w:r>
              <w:rPr>
                <w:rFonts w:ascii="Arial" w:cs="Arial" w:eastAsia="Arial" w:hAnsi="Arial"/>
                <w:b w:val="false"/>
                <w:bCs w:val="false"/>
                <w:color w:val="1F2937"/>
                <w:sz w:val="20"/>
                <w:szCs w:val="20"/>
              </w:rPr>
              <w:t xml:space="preserve">NICS: a magnetic measure of aromaticity</w:t>
            </w:r>
          </w:p>
        </w:tc>
      </w:tr>
      <w:tr>
        <w:tc>
          <w:tcPr>
            <w:tcW w:type="dxa" w:w="4784"/>
            <w:shd w:fill="F1F5F9" w:color="auto" w:val="clear"/>
            <w:tcMar>
              <w:top w:type="dxa" w:w="60"/>
              <w:left w:type="dxa" w:w="100"/>
              <w:bottom w:type="dxa" w:w="60"/>
              <w:right w:type="dxa" w:w="100"/>
            </w:tcMar>
            <w:vAlign w:val="center"/>
          </w:tcPr>
          <w:p>
            <w:pPr>
              <w:spacing w:after="0" w:before="0" w:line="276"/>
            </w:pPr>
            <w:r>
              <w:rPr>
                <w:rFonts w:ascii="Arial" w:cs="Arial" w:eastAsia="Arial" w:hAnsi="Arial"/>
                <w:b/>
                <w:bCs/>
                <w:color w:val="1F2937"/>
                <w:sz w:val="20"/>
                <w:szCs w:val="20"/>
              </w:rPr>
              <w:t xml:space="preserve">D. Ajami et al., Nature 2003, 426, 819</w:t>
            </w:r>
          </w:p>
        </w:tc>
        <w:tc>
          <w:tcPr>
            <w:tcW w:type="dxa" w:w="4856"/>
            <w:shd w:fill="FFFFFF" w:color="auto" w:val="clear"/>
            <w:tcMar>
              <w:top w:type="dxa" w:w="60"/>
              <w:left w:type="dxa" w:w="100"/>
              <w:bottom w:type="dxa" w:w="60"/>
              <w:right w:type="dxa" w:w="100"/>
            </w:tcMar>
            <w:vAlign w:val="center"/>
          </w:tcPr>
          <w:p>
            <w:pPr>
              <w:spacing w:after="0" w:before="0" w:line="276"/>
            </w:pPr>
            <w:r>
              <w:rPr>
                <w:rFonts w:ascii="Arial" w:cs="Arial" w:eastAsia="Arial" w:hAnsi="Arial"/>
                <w:b w:val="false"/>
                <w:bCs w:val="false"/>
                <w:color w:val="1F2937"/>
                <w:sz w:val="20"/>
                <w:szCs w:val="20"/>
              </w:rPr>
              <w:t xml:space="preserve">Möbius aromaticity realised</w:t>
            </w:r>
          </w:p>
        </w:tc>
      </w:tr>
    </w:tbl>
    <w:p>
      <w:pPr>
        <w:spacing w:after="40" w:before="0" w:line="276"/>
      </w:pPr>
      <w:r>
        <w:rPr>
          <w:rFonts w:ascii="Arial" w:cs="Arial" w:eastAsia="Arial" w:hAnsi="Arial"/>
          <w:color w:val="1F2937"/>
          <w:sz w:val="22"/>
          <w:szCs w:val="22"/>
        </w:rPr>
        <w:t xml:space="preserve"> </w:t>
      </w:r>
    </w:p>
    <w:p>
      <w:pPr>
        <w:keepNext/>
        <w:spacing w:after="80" w:before="200" w:line="276"/>
      </w:pPr>
      <w:r>
        <w:rPr>
          <w:rFonts w:ascii="Arial" w:cs="Arial" w:eastAsia="Arial" w:hAnsi="Arial"/>
          <w:b/>
          <w:bCs/>
          <w:color w:val="0F766E"/>
          <w:sz w:val="26"/>
          <w:szCs w:val="26"/>
        </w:rPr>
        <w:t xml:space="preserve">Online</w:t>
      </w:r>
    </w:p>
    <w:tbl>
      <w:tblPr>
        <w:tblW w:type="dxa" w:w="9640"/>
        <w:tblBorders>
          <w:top w:val="single" w:color="CBD5E1" w:sz="6"/>
          <w:left w:val="single" w:color="CBD5E1" w:sz="6"/>
          <w:bottom w:val="single" w:color="CBD5E1" w:sz="6"/>
          <w:right w:val="single" w:color="CBD5E1" w:sz="6"/>
          <w:insideH w:val="single" w:color="CBD5E1" w:sz="6"/>
          <w:insideV w:val="single" w:color="CBD5E1" w:sz="6"/>
        </w:tblBorders>
      </w:tblPr>
      <w:tblGrid>
        <w:gridCol w:w="4784"/>
        <w:gridCol w:w="4856"/>
      </w:tblGrid>
      <w:tr>
        <w:trPr>
          <w:tblHeader/>
        </w:trPr>
        <w:tc>
          <w:tcPr>
            <w:tcW w:type="dxa" w:w="4784"/>
            <w:shd w:fill="0F766E" w:color="auto" w:val="clear"/>
            <w:tcMar>
              <w:top w:type="dxa" w:w="60"/>
              <w:left w:type="dxa" w:w="100"/>
              <w:bottom w:type="dxa" w:w="60"/>
              <w:right w:type="dxa" w:w="100"/>
            </w:tcMar>
            <w:vAlign w:val="center"/>
          </w:tcPr>
          <w:p>
            <w:pPr>
              <w:spacing w:after="0" w:before="0" w:line="276"/>
            </w:pPr>
            <w:r>
              <w:rPr>
                <w:rFonts w:ascii="Arial" w:cs="Arial" w:eastAsia="Arial" w:hAnsi="Arial"/>
                <w:b/>
                <w:bCs/>
                <w:color w:val="FFFFFF"/>
                <w:sz w:val="20"/>
                <w:szCs w:val="20"/>
              </w:rPr>
              <w:t xml:space="preserve">Resource</w:t>
            </w:r>
          </w:p>
        </w:tc>
        <w:tc>
          <w:tcPr>
            <w:tcW w:type="dxa" w:w="4856"/>
            <w:shd w:fill="0F766E" w:color="auto" w:val="clear"/>
            <w:tcMar>
              <w:top w:type="dxa" w:w="60"/>
              <w:left w:type="dxa" w:w="100"/>
              <w:bottom w:type="dxa" w:w="60"/>
              <w:right w:type="dxa" w:w="100"/>
            </w:tcMar>
            <w:vAlign w:val="center"/>
          </w:tcPr>
          <w:p>
            <w:pPr>
              <w:spacing w:after="0" w:before="0" w:line="276"/>
            </w:pPr>
            <w:r>
              <w:rPr>
                <w:rFonts w:ascii="Arial" w:cs="Arial" w:eastAsia="Arial" w:hAnsi="Arial"/>
                <w:b/>
                <w:bCs/>
                <w:color w:val="FFFFFF"/>
                <w:sz w:val="20"/>
                <w:szCs w:val="20"/>
              </w:rPr>
              <w:t xml:space="preserve">Use it for</w:t>
            </w:r>
          </w:p>
        </w:tc>
      </w:tr>
      <w:tr>
        <w:tc>
          <w:tcPr>
            <w:tcW w:type="dxa" w:w="4784"/>
            <w:shd w:fill="F1F5F9" w:color="auto" w:val="clear"/>
            <w:tcMar>
              <w:top w:type="dxa" w:w="60"/>
              <w:left w:type="dxa" w:w="100"/>
              <w:bottom w:type="dxa" w:w="60"/>
              <w:right w:type="dxa" w:w="100"/>
            </w:tcMar>
            <w:vAlign w:val="center"/>
          </w:tcPr>
          <w:p>
            <w:pPr>
              <w:spacing w:after="0" w:before="0" w:line="276"/>
            </w:pPr>
            <w:r>
              <w:rPr>
                <w:rFonts w:ascii="Arial" w:cs="Arial" w:eastAsia="Arial" w:hAnsi="Arial"/>
                <w:b/>
                <w:bCs/>
                <w:color w:val="1F2937"/>
                <w:sz w:val="20"/>
                <w:szCs w:val="20"/>
              </w:rPr>
              <w:t xml:space="preserve">MIT OpenCourseWare 5.12 / 5.13 Organic Chemistry I &amp; II (video lectures + problem sets)</w:t>
            </w:r>
          </w:p>
        </w:tc>
        <w:tc>
          <w:tcPr>
            <w:tcW w:type="dxa" w:w="4856"/>
            <w:shd w:fill="FFFFFF" w:color="auto" w:val="clear"/>
            <w:tcMar>
              <w:top w:type="dxa" w:w="60"/>
              <w:left w:type="dxa" w:w="100"/>
              <w:bottom w:type="dxa" w:w="60"/>
              <w:right w:type="dxa" w:w="100"/>
            </w:tcMar>
            <w:vAlign w:val="center"/>
          </w:tcPr>
          <w:p>
            <w:pPr>
              <w:spacing w:after="0" w:before="0" w:line="276"/>
            </w:pPr>
            <w:r>
              <w:rPr>
                <w:rFonts w:ascii="Arial" w:cs="Arial" w:eastAsia="Arial" w:hAnsi="Arial"/>
                <w:b w:val="false"/>
                <w:bCs w:val="false"/>
                <w:color w:val="1F2937"/>
                <w:sz w:val="20"/>
                <w:szCs w:val="20"/>
              </w:rPr>
              <w:t xml:space="preserve">a complete first-year course, free</w:t>
            </w:r>
          </w:p>
        </w:tc>
      </w:tr>
      <w:tr>
        <w:tc>
          <w:tcPr>
            <w:tcW w:type="dxa" w:w="4784"/>
            <w:shd w:fill="F1F5F9" w:color="auto" w:val="clear"/>
            <w:tcMar>
              <w:top w:type="dxa" w:w="60"/>
              <w:left w:type="dxa" w:w="100"/>
              <w:bottom w:type="dxa" w:w="60"/>
              <w:right w:type="dxa" w:w="100"/>
            </w:tcMar>
            <w:vAlign w:val="center"/>
          </w:tcPr>
          <w:p>
            <w:pPr>
              <w:spacing w:after="0" w:before="0" w:line="276"/>
            </w:pPr>
            <w:r>
              <w:rPr>
                <w:rFonts w:ascii="Arial" w:cs="Arial" w:eastAsia="Arial" w:hAnsi="Arial"/>
                <w:b/>
                <w:bCs/>
                <w:color w:val="1F2937"/>
                <w:sz w:val="20"/>
                <w:szCs w:val="20"/>
              </w:rPr>
              <w:t xml:space="preserve">Master Organic Chemistry (masterorganicchemistry.com) — aromaticity and EAS series</w:t>
            </w:r>
          </w:p>
        </w:tc>
        <w:tc>
          <w:tcPr>
            <w:tcW w:type="dxa" w:w="4856"/>
            <w:shd w:fill="FFFFFF" w:color="auto" w:val="clear"/>
            <w:tcMar>
              <w:top w:type="dxa" w:w="60"/>
              <w:left w:type="dxa" w:w="100"/>
              <w:bottom w:type="dxa" w:w="60"/>
              <w:right w:type="dxa" w:w="100"/>
            </w:tcMar>
            <w:vAlign w:val="center"/>
          </w:tcPr>
          <w:p>
            <w:pPr>
              <w:spacing w:after="0" w:before="0" w:line="276"/>
            </w:pPr>
            <w:r>
              <w:rPr>
                <w:rFonts w:ascii="Arial" w:cs="Arial" w:eastAsia="Arial" w:hAnsi="Arial"/>
                <w:b w:val="false"/>
                <w:bCs w:val="false"/>
                <w:color w:val="1F2937"/>
                <w:sz w:val="20"/>
                <w:szCs w:val="20"/>
              </w:rPr>
              <w:t xml:space="preserve">clear articles with worked examples</w:t>
            </w:r>
          </w:p>
        </w:tc>
      </w:tr>
      <w:tr>
        <w:tc>
          <w:tcPr>
            <w:tcW w:type="dxa" w:w="4784"/>
            <w:shd w:fill="F1F5F9" w:color="auto" w:val="clear"/>
            <w:tcMar>
              <w:top w:type="dxa" w:w="60"/>
              <w:left w:type="dxa" w:w="100"/>
              <w:bottom w:type="dxa" w:w="60"/>
              <w:right w:type="dxa" w:w="100"/>
            </w:tcMar>
            <w:vAlign w:val="center"/>
          </w:tcPr>
          <w:p>
            <w:pPr>
              <w:spacing w:after="0" w:before="0" w:line="276"/>
            </w:pPr>
            <w:r>
              <w:rPr>
                <w:rFonts w:ascii="Arial" w:cs="Arial" w:eastAsia="Arial" w:hAnsi="Arial"/>
                <w:b/>
                <w:bCs/>
                <w:color w:val="1F2937"/>
                <w:sz w:val="20"/>
                <w:szCs w:val="20"/>
              </w:rPr>
              <w:t xml:space="preserve">Chemistry LibreTexts — 'Aromaticity', 'Electrophilic aromatic substitution'</w:t>
            </w:r>
          </w:p>
        </w:tc>
        <w:tc>
          <w:tcPr>
            <w:tcW w:type="dxa" w:w="4856"/>
            <w:shd w:fill="FFFFFF" w:color="auto" w:val="clear"/>
            <w:tcMar>
              <w:top w:type="dxa" w:w="60"/>
              <w:left w:type="dxa" w:w="100"/>
              <w:bottom w:type="dxa" w:w="60"/>
              <w:right w:type="dxa" w:w="100"/>
            </w:tcMar>
            <w:vAlign w:val="center"/>
          </w:tcPr>
          <w:p>
            <w:pPr>
              <w:spacing w:after="0" w:before="0" w:line="276"/>
            </w:pPr>
            <w:r>
              <w:rPr>
                <w:rFonts w:ascii="Arial" w:cs="Arial" w:eastAsia="Arial" w:hAnsi="Arial"/>
                <w:b w:val="false"/>
                <w:bCs w:val="false"/>
                <w:color w:val="1F2937"/>
                <w:sz w:val="20"/>
                <w:szCs w:val="20"/>
              </w:rPr>
              <w:t xml:space="preserve">textbook-style reference with problems</w:t>
            </w:r>
          </w:p>
        </w:tc>
      </w:tr>
      <w:tr>
        <w:tc>
          <w:tcPr>
            <w:tcW w:type="dxa" w:w="4784"/>
            <w:shd w:fill="F1F5F9" w:color="auto" w:val="clear"/>
            <w:tcMar>
              <w:top w:type="dxa" w:w="60"/>
              <w:left w:type="dxa" w:w="100"/>
              <w:bottom w:type="dxa" w:w="60"/>
              <w:right w:type="dxa" w:w="100"/>
            </w:tcMar>
            <w:vAlign w:val="center"/>
          </w:tcPr>
          <w:p>
            <w:pPr>
              <w:spacing w:after="0" w:before="0" w:line="276"/>
            </w:pPr>
            <w:r>
              <w:rPr>
                <w:rFonts w:ascii="Arial" w:cs="Arial" w:eastAsia="Arial" w:hAnsi="Arial"/>
                <w:b/>
                <w:bCs/>
                <w:color w:val="1F2937"/>
                <w:sz w:val="20"/>
                <w:szCs w:val="20"/>
              </w:rPr>
              <w:t xml:space="preserve">SDBS spectral database (sdbs.db.aist.go.jp)</w:t>
            </w:r>
          </w:p>
        </w:tc>
        <w:tc>
          <w:tcPr>
            <w:tcW w:type="dxa" w:w="4856"/>
            <w:shd w:fill="FFFFFF" w:color="auto" w:val="clear"/>
            <w:tcMar>
              <w:top w:type="dxa" w:w="60"/>
              <w:left w:type="dxa" w:w="100"/>
              <w:bottom w:type="dxa" w:w="60"/>
              <w:right w:type="dxa" w:w="100"/>
            </w:tcMar>
            <w:vAlign w:val="center"/>
          </w:tcPr>
          <w:p>
            <w:pPr>
              <w:spacing w:after="0" w:before="0" w:line="276"/>
            </w:pPr>
            <w:r>
              <w:rPr>
                <w:rFonts w:ascii="Arial" w:cs="Arial" w:eastAsia="Arial" w:hAnsi="Arial"/>
                <w:b w:val="false"/>
                <w:bCs w:val="false"/>
                <w:color w:val="1F2937"/>
                <w:sz w:val="20"/>
                <w:szCs w:val="20"/>
              </w:rPr>
              <w:t xml:space="preserve">real NMR/IR/MS of every compound in this pack</w:t>
            </w:r>
          </w:p>
        </w:tc>
      </w:tr>
      <w:tr>
        <w:tc>
          <w:tcPr>
            <w:tcW w:type="dxa" w:w="4784"/>
            <w:shd w:fill="F1F5F9" w:color="auto" w:val="clear"/>
            <w:tcMar>
              <w:top w:type="dxa" w:w="60"/>
              <w:left w:type="dxa" w:w="100"/>
              <w:bottom w:type="dxa" w:w="60"/>
              <w:right w:type="dxa" w:w="100"/>
            </w:tcMar>
            <w:vAlign w:val="center"/>
          </w:tcPr>
          <w:p>
            <w:pPr>
              <w:spacing w:after="0" w:before="0" w:line="276"/>
            </w:pPr>
            <w:r>
              <w:rPr>
                <w:rFonts w:ascii="Arial" w:cs="Arial" w:eastAsia="Arial" w:hAnsi="Arial"/>
                <w:b/>
                <w:bCs/>
                <w:color w:val="1F2937"/>
                <w:sz w:val="20"/>
                <w:szCs w:val="20"/>
              </w:rPr>
              <w:t xml:space="preserve">Royal Society of Chemistry, Education in Chemistry — 'Kekulé's dream' and 'Perkin's mauve' features</w:t>
            </w:r>
          </w:p>
        </w:tc>
        <w:tc>
          <w:tcPr>
            <w:tcW w:type="dxa" w:w="4856"/>
            <w:shd w:fill="FFFFFF" w:color="auto" w:val="clear"/>
            <w:tcMar>
              <w:top w:type="dxa" w:w="60"/>
              <w:left w:type="dxa" w:w="100"/>
              <w:bottom w:type="dxa" w:w="60"/>
              <w:right w:type="dxa" w:w="100"/>
            </w:tcMar>
            <w:vAlign w:val="center"/>
          </w:tcPr>
          <w:p>
            <w:pPr>
              <w:spacing w:after="0" w:before="0" w:line="276"/>
            </w:pPr>
            <w:r>
              <w:rPr>
                <w:rFonts w:ascii="Arial" w:cs="Arial" w:eastAsia="Arial" w:hAnsi="Arial"/>
                <w:b w:val="false"/>
                <w:bCs w:val="false"/>
                <w:color w:val="1F2937"/>
                <w:sz w:val="20"/>
                <w:szCs w:val="20"/>
              </w:rPr>
              <w:t xml:space="preserve">history, well told</w:t>
            </w:r>
          </w:p>
        </w:tc>
      </w:tr>
      <w:tr>
        <w:tc>
          <w:tcPr>
            <w:tcW w:type="dxa" w:w="4784"/>
            <w:shd w:fill="F1F5F9" w:color="auto" w:val="clear"/>
            <w:tcMar>
              <w:top w:type="dxa" w:w="60"/>
              <w:left w:type="dxa" w:w="100"/>
              <w:bottom w:type="dxa" w:w="60"/>
              <w:right w:type="dxa" w:w="100"/>
            </w:tcMar>
            <w:vAlign w:val="center"/>
          </w:tcPr>
          <w:p>
            <w:pPr>
              <w:spacing w:after="0" w:before="0" w:line="276"/>
            </w:pPr>
            <w:r>
              <w:rPr>
                <w:rFonts w:ascii="Arial" w:cs="Arial" w:eastAsia="Arial" w:hAnsi="Arial"/>
                <w:b/>
                <w:bCs/>
                <w:color w:val="1F2937"/>
                <w:sz w:val="20"/>
                <w:szCs w:val="20"/>
              </w:rPr>
              <w:t xml:space="preserve">Reaction mechanism practice: 'Organic Chemistry Practice Problems' at Michigan State (Reusch)</w:t>
            </w:r>
          </w:p>
        </w:tc>
        <w:tc>
          <w:tcPr>
            <w:tcW w:type="dxa" w:w="4856"/>
            <w:shd w:fill="FFFFFF" w:color="auto" w:val="clear"/>
            <w:tcMar>
              <w:top w:type="dxa" w:w="60"/>
              <w:left w:type="dxa" w:w="100"/>
              <w:bottom w:type="dxa" w:w="60"/>
              <w:right w:type="dxa" w:w="100"/>
            </w:tcMar>
            <w:vAlign w:val="center"/>
          </w:tcPr>
          <w:p>
            <w:pPr>
              <w:spacing w:after="0" w:before="0" w:line="276"/>
            </w:pPr>
            <w:r>
              <w:rPr>
                <w:rFonts w:ascii="Arial" w:cs="Arial" w:eastAsia="Arial" w:hAnsi="Arial"/>
                <w:b w:val="false"/>
                <w:bCs w:val="false"/>
                <w:color w:val="1F2937"/>
                <w:sz w:val="20"/>
                <w:szCs w:val="20"/>
              </w:rPr>
              <w:t xml:space="preserve">hundreds of graded problems with answers</w:t>
            </w:r>
          </w:p>
        </w:tc>
      </w:tr>
    </w:tbl>
    <w:p>
      <w:pPr>
        <w:spacing w:after="40" w:before="0" w:line="276"/>
      </w:pPr>
      <w:r>
        <w:rPr>
          <w:rFonts w:ascii="Arial" w:cs="Arial" w:eastAsia="Arial" w:hAnsi="Arial"/>
          <w:color w:val="1F2937"/>
          <w:sz w:val="22"/>
          <w:szCs w:val="22"/>
        </w:rPr>
        <w:t xml:space="preserve"> </w:t>
      </w:r>
    </w:p>
    <w:p>
      <w:pPr>
        <w:keepNext/>
        <w:spacing w:after="80" w:before="200" w:line="276"/>
      </w:pPr>
      <w:r>
        <w:rPr>
          <w:rFonts w:ascii="Arial" w:cs="Arial" w:eastAsia="Arial" w:hAnsi="Arial"/>
          <w:b/>
          <w:bCs/>
          <w:color w:val="0F766E"/>
          <w:sz w:val="26"/>
          <w:szCs w:val="26"/>
        </w:rPr>
        <w:t xml:space="preserve">How to read a research paper (a two-minute guide)</w:t>
      </w:r>
    </w:p>
    <w:p>
      <w:pPr>
        <w:spacing w:after="40" w:before="60" w:line="276"/>
      </w:pPr>
      <w:r>
        <w:rPr>
          <w:rFonts w:ascii="Arial" w:cs="Arial" w:eastAsia="Arial" w:hAnsi="Arial"/>
          <w:color w:val="1F2937"/>
          <w:sz w:val="22"/>
          <w:szCs w:val="22"/>
        </w:rPr>
        <w:t xml:space="preserve">Read the title and abstract; then look at the figures and schemes before the text — chemists communicate in structures. Ask three questions: what did they make or measure, what is the evidence, and what would have to be true for the conclusion to be wrong? Do not read the experimental section unless you intend to repeat the work. If a paper is behind a paywall, the authors will almost always send a copy if you email them politely — and a school library can usually obtain it.</w:t>
      </w:r>
    </w:p>
    <w:p>
      <w:pPr>
        <w:pageBreakBefore/>
        <w:spacing w:after="0" w:before="0" w:line="20"/>
      </w:pPr>
      <w:r>
        <w:rPr>
          <w:sz w:val="2"/>
          <w:szCs w:val="2"/>
        </w:rPr>
        <w:t xml:space="preserve"/>
      </w:r>
    </w:p>
    <w:tbl>
      <w:tblPr>
        <w:tblW w:type="dxa" w:w="9640"/>
        <w:tblBorders>
          <w:top w:val="none" w:color="FFFFFF" w:sz="0"/>
          <w:left w:val="none" w:color="FFFFFF" w:sz="0"/>
          <w:bottom w:val="none" w:color="FFFFFF" w:sz="0"/>
          <w:right w:val="none" w:color="FFFFFF" w:sz="0"/>
          <w:insideH w:val="none" w:color="FFFFFF" w:sz="0"/>
          <w:insideV w:val="none" w:color="FFFFFF" w:sz="0"/>
        </w:tblBorders>
      </w:tblPr>
      <w:tblGrid>
        <w:gridCol w:w="9640"/>
      </w:tblGrid>
      <w:tr>
        <w:trPr>
          <w:cantSplit/>
        </w:trPr>
        <w:tc>
          <w:tcPr>
            <w:tcW w:type="dxa" w:w="9640"/>
            <w:shd w:fill="15803D" w:color="auto" w:val="clear"/>
            <w:tcMar>
              <w:top w:type="dxa" w:w="160"/>
              <w:left w:type="dxa" w:w="240"/>
              <w:bottom w:type="dxa" w:w="160"/>
              <w:right w:type="dxa" w:w="240"/>
            </w:tcMar>
          </w:tcPr>
          <w:p>
            <w:pPr>
              <w:spacing w:after="40" w:before="0" w:line="276"/>
            </w:pPr>
            <w:r>
              <w:rPr>
                <w:rFonts w:ascii="Arial" w:cs="Arial" w:eastAsia="Arial" w:hAnsi="Arial"/>
                <w:b/>
                <w:bCs/>
                <w:color w:val="FFFFFF"/>
                <w:sz w:val="32"/>
                <w:szCs w:val="32"/>
              </w:rPr>
              <w:t xml:space="preserve">Worked answers</w:t>
            </w:r>
          </w:p>
          <w:p>
            <w:pPr>
              <w:spacing w:after="0" w:before="0" w:line="276"/>
            </w:pPr>
            <w:r>
              <w:rPr>
                <w:rFonts w:ascii="Arial" w:cs="Arial" w:eastAsia="Arial" w:hAnsi="Arial"/>
                <w:i/>
                <w:iCs/>
                <w:color w:val="DCFCE7"/>
                <w:sz w:val="21"/>
                <w:szCs w:val="21"/>
              </w:rPr>
              <w:t xml:space="preserve">Check your reasoning, not just your final answer. If you disagree with an answer here, argue it out with your teacher — that is what chemists do.</w:t>
            </w:r>
          </w:p>
        </w:tc>
      </w:tr>
    </w:tbl>
    <w:p>
      <w:pPr>
        <w:keepNext/>
        <w:spacing w:after="60" w:before="260" w:line="276"/>
      </w:pPr>
      <w:r>
        <w:rPr>
          <w:rFonts w:ascii="Arial" w:cs="Arial" w:eastAsia="Arial" w:hAnsi="Arial"/>
          <w:b/>
          <w:bCs/>
          <w:color w:val="6D28D9"/>
          <w:sz w:val="26"/>
          <w:szCs w:val="26"/>
        </w:rPr>
        <w:t xml:space="preserve">Section 1 — What makes a ring aromatic?</w:t>
      </w:r>
    </w:p>
    <w:p>
      <w:pPr>
        <w:keepNext/>
        <w:spacing w:after="20" w:before="120" w:line="276"/>
      </w:pPr>
      <w:r>
        <w:rPr>
          <w:rFonts w:ascii="Arial" w:cs="Arial" w:eastAsia="Arial" w:hAnsi="Arial"/>
          <w:b/>
          <w:bCs/>
          <w:color w:val="6D28D9"/>
          <w:sz w:val="22"/>
          <w:szCs w:val="22"/>
        </w:rPr>
        <w:t xml:space="preserve">1.1</w:t>
      </w:r>
      <w:r>
        <w:rPr>
          <w:rFonts w:ascii="Arial" w:cs="Arial" w:eastAsia="Arial" w:hAnsi="Arial"/>
          <w:b/>
          <w:bCs/>
          <w:color w:val="D97706"/>
          <w:sz w:val="18"/>
          <w:szCs w:val="18"/>
        </w:rPr>
        <w:t xml:space="preserve">  ★</w:t>
      </w:r>
      <w:r>
        <w:rPr>
          <w:rFonts w:ascii="Arial" w:cs="Arial" w:eastAsia="Arial" w:hAnsi="Arial"/>
          <w:i/>
          <w:iCs/>
          <w:color w:val="6B7280"/>
          <w:sz w:val="19"/>
          <w:szCs w:val="19"/>
        </w:rPr>
        <w:t xml:space="preserve">   Classify each as aromatic, antiaromatic or non-aromatic, giving the π-electron count: (a) the cyclopropenyl cation, C₃H₃⁺; (b) cyc…</w:t>
      </w:r>
    </w:p>
    <w:p>
      <w:pPr>
        <w:spacing w:after="40" w:before="60" w:line="276"/>
        <w:ind w:left="400"/>
      </w:pPr>
      <w:r>
        <w:rPr>
          <w:rFonts w:ascii="Arial" w:cs="Arial" w:eastAsia="Arial" w:hAnsi="Arial"/>
          <w:color w:val="14532D"/>
          <w:sz w:val="21"/>
          <w:szCs w:val="21"/>
        </w:rPr>
        <w:t xml:space="preserve">(a) 2 π (n = 0) → aromatic — the smallest aromatic ring. (b) 8 π = 4n → would be antiaromatic if planar, so it puckers into a tub: non-aromatic, alkene-like. (c) 10 π (n = 2), planar → aromatic — adding two electrons makes it flatten! (d) 18 π (n = 4), planar → aromatic. (e) 6 π (two C=C + one O lone pair in a p-orbital) → aromatic (the other O lone pair is in the plane).</w:t>
      </w:r>
    </w:p>
    <w:p>
      <w:pPr>
        <w:keepNext/>
        <w:spacing w:after="20" w:before="120" w:line="276"/>
      </w:pPr>
      <w:r>
        <w:rPr>
          <w:rFonts w:ascii="Arial" w:cs="Arial" w:eastAsia="Arial" w:hAnsi="Arial"/>
          <w:b/>
          <w:bCs/>
          <w:color w:val="6D28D9"/>
          <w:sz w:val="22"/>
          <w:szCs w:val="22"/>
        </w:rPr>
        <w:t xml:space="preserve">1.2</w:t>
      </w:r>
      <w:r>
        <w:rPr>
          <w:rFonts w:ascii="Arial" w:cs="Arial" w:eastAsia="Arial" w:hAnsi="Arial"/>
          <w:b/>
          <w:bCs/>
          <w:color w:val="D97706"/>
          <w:sz w:val="18"/>
          <w:szCs w:val="18"/>
        </w:rPr>
        <w:t xml:space="preserve">  ★</w:t>
      </w:r>
      <w:r>
        <w:rPr>
          <w:rFonts w:ascii="Arial" w:cs="Arial" w:eastAsia="Arial" w:hAnsi="Arial"/>
          <w:i/>
          <w:iCs/>
          <w:color w:val="6B7280"/>
          <w:sz w:val="19"/>
          <w:szCs w:val="19"/>
        </w:rPr>
        <w:t xml:space="preserve">   Cyclopentadiene, C₅H₆, has pKₐ ≈ 16 — about the same as water and 10²⁹ times more acidic than cyclopentane (pKₐ ≈ 45). Explain.</w:t>
      </w:r>
    </w:p>
    <w:p>
      <w:pPr>
        <w:spacing w:after="40" w:before="60" w:line="276"/>
        <w:ind w:left="400"/>
      </w:pPr>
      <w:r>
        <w:rPr>
          <w:rFonts w:ascii="Arial" w:cs="Arial" w:eastAsia="Arial" w:hAnsi="Arial"/>
          <w:color w:val="14532D"/>
          <w:sz w:val="21"/>
          <w:szCs w:val="21"/>
        </w:rPr>
        <w:t xml:space="preserve">Removing H⁺ from the CH₂ gives the cyclopentadienyl anion: planar, fully conjugated, 6 π electrons (4 from the C=C bonds + 2 from the new lone pair) → aromatic. The enormous stabilisation of the conjugate base pulls the equilibrium far to the right. Cyclopentane's anion has no such stabilisation.</w:t>
      </w:r>
    </w:p>
    <w:p>
      <w:pPr>
        <w:keepNext/>
        <w:spacing w:after="20" w:before="120" w:line="276"/>
      </w:pPr>
      <w:r>
        <w:rPr>
          <w:rFonts w:ascii="Arial" w:cs="Arial" w:eastAsia="Arial" w:hAnsi="Arial"/>
          <w:b/>
          <w:bCs/>
          <w:color w:val="6D28D9"/>
          <w:sz w:val="22"/>
          <w:szCs w:val="22"/>
        </w:rPr>
        <w:t xml:space="preserve">1.3</w:t>
      </w:r>
      <w:r>
        <w:rPr>
          <w:rFonts w:ascii="Arial" w:cs="Arial" w:eastAsia="Arial" w:hAnsi="Arial"/>
          <w:b/>
          <w:bCs/>
          <w:color w:val="D97706"/>
          <w:sz w:val="18"/>
          <w:szCs w:val="18"/>
        </w:rPr>
        <w:t xml:space="preserve">  ★</w:t>
      </w:r>
      <w:r>
        <w:rPr>
          <w:rFonts w:ascii="Arial" w:cs="Arial" w:eastAsia="Arial" w:hAnsi="Arial"/>
          <w:i/>
          <w:iCs/>
          <w:color w:val="6B7280"/>
          <w:sz w:val="19"/>
          <w:szCs w:val="19"/>
        </w:rPr>
        <w:t xml:space="preserve">   Draw the Frost circle for the cyclopropenyl system (a triangle, vertex down). Use it to explain why the cation (2 π) is aromatic b…</w:t>
      </w:r>
    </w:p>
    <w:p>
      <w:pPr>
        <w:spacing w:after="40" w:before="60" w:line="276"/>
        <w:ind w:left="400"/>
      </w:pPr>
      <w:r>
        <w:rPr>
          <w:rFonts w:ascii="Arial" w:cs="Arial" w:eastAsia="Arial" w:hAnsi="Arial"/>
          <w:color w:val="14532D"/>
          <w:sz w:val="21"/>
          <w:szCs w:val="21"/>
        </w:rPr>
        <w:t xml:space="preserve">Triangle vertex-down: one bonding orbital at the bottom, a degenerate pair of antibonding orbitals above the centre line. Cation: 2 electrons fill the bonding orbital — closed shell, aromatic. Anion: 4 electrons — the extra two go one each into the degenerate antibonding pair → open-shell diradical, antiaromatic (it is unknown as a free species).</w:t>
      </w:r>
    </w:p>
    <w:p>
      <w:pPr>
        <w:keepNext/>
        <w:spacing w:after="60" w:before="260" w:line="276"/>
      </w:pPr>
      <w:r>
        <w:rPr>
          <w:rFonts w:ascii="Arial" w:cs="Arial" w:eastAsia="Arial" w:hAnsi="Arial"/>
          <w:b/>
          <w:bCs/>
          <w:color w:val="6D28D9"/>
          <w:sz w:val="26"/>
          <w:szCs w:val="26"/>
        </w:rPr>
        <w:t xml:space="preserve">Section 2 — Resonance energy and the ring current</w:t>
      </w:r>
    </w:p>
    <w:p>
      <w:pPr>
        <w:keepNext/>
        <w:spacing w:after="20" w:before="120" w:line="276"/>
      </w:pPr>
      <w:r>
        <w:rPr>
          <w:rFonts w:ascii="Arial" w:cs="Arial" w:eastAsia="Arial" w:hAnsi="Arial"/>
          <w:b/>
          <w:bCs/>
          <w:color w:val="6D28D9"/>
          <w:sz w:val="22"/>
          <w:szCs w:val="22"/>
        </w:rPr>
        <w:t xml:space="preserve">2.1</w:t>
      </w:r>
      <w:r>
        <w:rPr>
          <w:rFonts w:ascii="Arial" w:cs="Arial" w:eastAsia="Arial" w:hAnsi="Arial"/>
          <w:b/>
          <w:bCs/>
          <w:color w:val="D97706"/>
          <w:sz w:val="18"/>
          <w:szCs w:val="18"/>
        </w:rPr>
        <w:t xml:space="preserve">  ★</w:t>
      </w:r>
      <w:r>
        <w:rPr>
          <w:rFonts w:ascii="Arial" w:cs="Arial" w:eastAsia="Arial" w:hAnsi="Arial"/>
          <w:i/>
          <w:iCs/>
          <w:color w:val="6B7280"/>
          <w:sz w:val="19"/>
          <w:szCs w:val="19"/>
        </w:rPr>
        <w:t xml:space="preserve">   A student writes 'benzene ⇌ (other Kekulé structure)'. Explain what is wrong with the arrow and what the correct symbol means.</w:t>
      </w:r>
    </w:p>
    <w:p>
      <w:pPr>
        <w:spacing w:after="40" w:before="60" w:line="276"/>
        <w:ind w:left="400"/>
      </w:pPr>
      <w:r>
        <w:rPr>
          <w:rFonts w:ascii="Arial" w:cs="Arial" w:eastAsia="Arial" w:hAnsi="Arial"/>
          <w:color w:val="14532D"/>
          <w:sz w:val="21"/>
          <w:szCs w:val="21"/>
        </w:rPr>
        <w:t xml:space="preserve">⇌ implies two distinct species interconverting. The Kekulé structures are not real molecules; they are two inadequate drawings of ONE structure. The correct symbol is the double-headed resonance arrow ↔, meaning 'the true structure is a weighted average (hybrid) of these'.</w:t>
      </w:r>
    </w:p>
    <w:p>
      <w:pPr>
        <w:keepNext/>
        <w:spacing w:after="20" w:before="120" w:line="276"/>
      </w:pPr>
      <w:r>
        <w:rPr>
          <w:rFonts w:ascii="Arial" w:cs="Arial" w:eastAsia="Arial" w:hAnsi="Arial"/>
          <w:b/>
          <w:bCs/>
          <w:color w:val="6D28D9"/>
          <w:sz w:val="22"/>
          <w:szCs w:val="22"/>
        </w:rPr>
        <w:t xml:space="preserve">2.2</w:t>
      </w:r>
      <w:r>
        <w:rPr>
          <w:rFonts w:ascii="Arial" w:cs="Arial" w:eastAsia="Arial" w:hAnsi="Arial"/>
          <w:b/>
          <w:bCs/>
          <w:color w:val="D97706"/>
          <w:sz w:val="18"/>
          <w:szCs w:val="18"/>
        </w:rPr>
        <w:t xml:space="preserve">  ★</w:t>
      </w:r>
      <w:r>
        <w:rPr>
          <w:rFonts w:ascii="Arial" w:cs="Arial" w:eastAsia="Arial" w:hAnsi="Arial"/>
          <w:i/>
          <w:iCs/>
          <w:color w:val="6B7280"/>
          <w:sz w:val="19"/>
          <w:szCs w:val="19"/>
        </w:rPr>
        <w:t xml:space="preserve">   The enthalpy change of hydrogenation of cyclooctatetraene is −410 kJ mol⁻¹, and that of cyclooctene is −96 kJ mol⁻¹. Calculate the…</w:t>
      </w:r>
    </w:p>
    <w:p>
      <w:pPr>
        <w:spacing w:after="40" w:before="60" w:line="276"/>
        <w:ind w:left="400"/>
      </w:pPr>
      <w:r>
        <w:rPr>
          <w:rFonts w:ascii="Arial" w:cs="Arial" w:eastAsia="Arial" w:hAnsi="Arial"/>
          <w:color w:val="14532D"/>
          <w:sz w:val="21"/>
          <w:szCs w:val="21"/>
        </w:rPr>
        <w:t xml:space="preserve">Expected for four isolated C=C: 4 × (−96) = −384 kJ mol⁻¹. Actual −410 is MORE exothermic — a 'resonance energy' of about −26 kJ mol⁻¹, i.e. slightly DEstabilised. Consistent with a non-planar, non-aromatic tub (some strain), nothing like benzene's +152.</w:t>
      </w:r>
    </w:p>
    <w:p>
      <w:pPr>
        <w:keepNext/>
        <w:spacing w:after="20" w:before="120" w:line="276"/>
      </w:pPr>
      <w:r>
        <w:rPr>
          <w:rFonts w:ascii="Arial" w:cs="Arial" w:eastAsia="Arial" w:hAnsi="Arial"/>
          <w:b/>
          <w:bCs/>
          <w:color w:val="6D28D9"/>
          <w:sz w:val="22"/>
          <w:szCs w:val="22"/>
        </w:rPr>
        <w:t xml:space="preserve">2.3</w:t>
      </w:r>
      <w:r>
        <w:rPr>
          <w:rFonts w:ascii="Arial" w:cs="Arial" w:eastAsia="Arial" w:hAnsi="Arial"/>
          <w:b/>
          <w:bCs/>
          <w:color w:val="D97706"/>
          <w:sz w:val="18"/>
          <w:szCs w:val="18"/>
        </w:rPr>
        <w:t xml:space="preserve">  ★</w:t>
      </w:r>
      <w:r>
        <w:rPr>
          <w:rFonts w:ascii="Arial" w:cs="Arial" w:eastAsia="Arial" w:hAnsi="Arial"/>
          <w:i/>
          <w:iCs/>
          <w:color w:val="6B7280"/>
          <w:sz w:val="19"/>
          <w:szCs w:val="19"/>
        </w:rPr>
        <w:t xml:space="preserve">   Predict the approximate ¹H chemical shifts of (a) the ring hydrogens of benzene, (b) the H atoms of cyclohexene's C=C, (c) the inn…</w:t>
      </w:r>
    </w:p>
    <w:p>
      <w:pPr>
        <w:spacing w:after="40" w:before="60" w:line="276"/>
        <w:ind w:left="400"/>
      </w:pPr>
      <w:r>
        <w:rPr>
          <w:rFonts w:ascii="Arial" w:cs="Arial" w:eastAsia="Arial" w:hAnsi="Arial"/>
          <w:color w:val="14532D"/>
          <w:sz w:val="21"/>
          <w:szCs w:val="21"/>
        </w:rPr>
        <w:t xml:space="preserve">(a) ≈ 7.3 ppm: outside the ring, the induced field of the ring current adds to the applied field → deshielded. (b) 5–6 ppm: a localised π bond deshields less. (c) ≈ −3 ppm: inside the ring the induced field opposes the applied field → strongly shielded, upfield of TMS.</w:t>
      </w:r>
    </w:p>
    <w:p>
      <w:pPr>
        <w:keepNext/>
        <w:spacing w:after="60" w:before="260" w:line="276"/>
      </w:pPr>
      <w:r>
        <w:rPr>
          <w:rFonts w:ascii="Arial" w:cs="Arial" w:eastAsia="Arial" w:hAnsi="Arial"/>
          <w:b/>
          <w:bCs/>
          <w:color w:val="6D28D9"/>
          <w:sz w:val="26"/>
          <w:szCs w:val="26"/>
        </w:rPr>
        <w:t xml:space="preserve">Section 3 — The Wheland intermediate and the energy profile</w:t>
      </w:r>
    </w:p>
    <w:p>
      <w:pPr>
        <w:keepNext/>
        <w:spacing w:after="20" w:before="120" w:line="276"/>
      </w:pPr>
      <w:r>
        <w:rPr>
          <w:rFonts w:ascii="Arial" w:cs="Arial" w:eastAsia="Arial" w:hAnsi="Arial"/>
          <w:b/>
          <w:bCs/>
          <w:color w:val="6D28D9"/>
          <w:sz w:val="22"/>
          <w:szCs w:val="22"/>
        </w:rPr>
        <w:t xml:space="preserve">3.1</w:t>
      </w:r>
      <w:r>
        <w:rPr>
          <w:rFonts w:ascii="Arial" w:cs="Arial" w:eastAsia="Arial" w:hAnsi="Arial"/>
          <w:b/>
          <w:bCs/>
          <w:color w:val="D97706"/>
          <w:sz w:val="18"/>
          <w:szCs w:val="18"/>
        </w:rPr>
        <w:t xml:space="preserve">  ★</w:t>
      </w:r>
      <w:r>
        <w:rPr>
          <w:rFonts w:ascii="Arial" w:cs="Arial" w:eastAsia="Arial" w:hAnsi="Arial"/>
          <w:i/>
          <w:iCs/>
          <w:color w:val="6B7280"/>
          <w:sz w:val="19"/>
          <w:szCs w:val="19"/>
        </w:rPr>
        <w:t xml:space="preserve">   Draw the three resonance forms of the intermediate formed when Br⁺ attacks benzene. Mark the sp³ carbon.</w:t>
      </w:r>
    </w:p>
    <w:p>
      <w:pPr>
        <w:spacing w:after="40" w:before="60" w:line="276"/>
        <w:ind w:left="400"/>
      </w:pPr>
      <w:r>
        <w:rPr>
          <w:rFonts w:ascii="Arial" w:cs="Arial" w:eastAsia="Arial" w:hAnsi="Arial"/>
          <w:color w:val="14532D"/>
          <w:sz w:val="21"/>
          <w:szCs w:val="21"/>
        </w:rPr>
        <w:t xml:space="preserve">Ring with H and Br on the same (sp³) carbon; positive charge on the ortho carbon with C=C at the two other positions; then the para form; then the other ortho form. The sp³ carbon is never charged and carries no double bond.</w:t>
      </w:r>
    </w:p>
    <w:p>
      <w:pPr>
        <w:keepNext/>
        <w:spacing w:after="20" w:before="120" w:line="276"/>
      </w:pPr>
      <w:r>
        <w:rPr>
          <w:rFonts w:ascii="Arial" w:cs="Arial" w:eastAsia="Arial" w:hAnsi="Arial"/>
          <w:b/>
          <w:bCs/>
          <w:color w:val="6D28D9"/>
          <w:sz w:val="22"/>
          <w:szCs w:val="22"/>
        </w:rPr>
        <w:t xml:space="preserve">3.2</w:t>
      </w:r>
      <w:r>
        <w:rPr>
          <w:rFonts w:ascii="Arial" w:cs="Arial" w:eastAsia="Arial" w:hAnsi="Arial"/>
          <w:b/>
          <w:bCs/>
          <w:color w:val="D97706"/>
          <w:sz w:val="18"/>
          <w:szCs w:val="18"/>
        </w:rPr>
        <w:t xml:space="preserve">  ★</w:t>
      </w:r>
      <w:r>
        <w:rPr>
          <w:rFonts w:ascii="Arial" w:cs="Arial" w:eastAsia="Arial" w:hAnsi="Arial"/>
          <w:i/>
          <w:iCs/>
          <w:color w:val="6B7280"/>
          <w:sz w:val="19"/>
          <w:szCs w:val="19"/>
        </w:rPr>
        <w:t xml:space="preserve">   Sulfonation, unlike nitration, DOES show a kinetic isotope effect (C₆D₆ reacts more slowly) and is reversible. Suggest what this t…</w:t>
      </w:r>
    </w:p>
    <w:p>
      <w:pPr>
        <w:spacing w:after="40" w:before="60" w:line="276"/>
        <w:ind w:left="400"/>
      </w:pPr>
      <w:r>
        <w:rPr>
          <w:rFonts w:ascii="Arial" w:cs="Arial" w:eastAsia="Arial" w:hAnsi="Arial"/>
          <w:color w:val="14532D"/>
          <w:sz w:val="21"/>
          <w:szCs w:val="21"/>
        </w:rPr>
        <w:t xml:space="preserve">For sulfonation the two transition states are of similar height (SO₃ is a weaker electrophile and the intermediate can revert to reactants), so the C–H (C–D) breaking step is partly rate-determining → isotope effect; the shallow well means the reaction is reversible (heating benzenesulfonic acid with dilute acid regenerates benzene).</w:t>
      </w:r>
    </w:p>
    <w:p>
      <w:pPr>
        <w:keepNext/>
        <w:spacing w:after="20" w:before="120" w:line="276"/>
      </w:pPr>
      <w:r>
        <w:rPr>
          <w:rFonts w:ascii="Arial" w:cs="Arial" w:eastAsia="Arial" w:hAnsi="Arial"/>
          <w:b/>
          <w:bCs/>
          <w:color w:val="6D28D9"/>
          <w:sz w:val="22"/>
          <w:szCs w:val="22"/>
        </w:rPr>
        <w:t xml:space="preserve">3.3</w:t>
      </w:r>
      <w:r>
        <w:rPr>
          <w:rFonts w:ascii="Arial" w:cs="Arial" w:eastAsia="Arial" w:hAnsi="Arial"/>
          <w:b/>
          <w:bCs/>
          <w:color w:val="D97706"/>
          <w:sz w:val="18"/>
          <w:szCs w:val="18"/>
        </w:rPr>
        <w:t xml:space="preserve">  ★</w:t>
      </w:r>
      <w:r>
        <w:rPr>
          <w:rFonts w:ascii="Arial" w:cs="Arial" w:eastAsia="Arial" w:hAnsi="Arial"/>
          <w:i/>
          <w:iCs/>
          <w:color w:val="6B7280"/>
          <w:sz w:val="19"/>
          <w:szCs w:val="19"/>
        </w:rPr>
        <w:t xml:space="preserve">   Use the energy profile to explain why the intermediate does not simply pick up HSO₄⁻ (or Br⁻) to give an addition product, as an a…</w:t>
      </w:r>
    </w:p>
    <w:p>
      <w:pPr>
        <w:spacing w:after="40" w:before="60" w:line="276"/>
        <w:ind w:left="400"/>
      </w:pPr>
      <w:r>
        <w:rPr>
          <w:rFonts w:ascii="Arial" w:cs="Arial" w:eastAsia="Arial" w:hAnsi="Arial"/>
          <w:color w:val="14532D"/>
          <w:sz w:val="21"/>
          <w:szCs w:val="21"/>
        </w:rPr>
        <w:t xml:space="preserve">Loss of H⁺ regenerates the aromatic ring, releasing the resonance energy (~150 kJ mol⁻¹): a very favourable, low-barrier step. Addition of a nucleophile would give a non-aromatic cyclohexadiene, far higher in energy; the alkene carbocation has no aromaticity to regain, so addition is its only option.</w:t>
      </w:r>
    </w:p>
    <w:p>
      <w:pPr>
        <w:keepNext/>
        <w:spacing w:after="60" w:before="260" w:line="276"/>
      </w:pPr>
      <w:r>
        <w:rPr>
          <w:rFonts w:ascii="Arial" w:cs="Arial" w:eastAsia="Arial" w:hAnsi="Arial"/>
          <w:b/>
          <w:bCs/>
          <w:color w:val="6D28D9"/>
          <w:sz w:val="26"/>
          <w:szCs w:val="26"/>
        </w:rPr>
        <w:t xml:space="preserve">Section 4 — Directing effects — the real reason</w:t>
      </w:r>
    </w:p>
    <w:p>
      <w:pPr>
        <w:keepNext/>
        <w:spacing w:after="20" w:before="120" w:line="276"/>
      </w:pPr>
      <w:r>
        <w:rPr>
          <w:rFonts w:ascii="Arial" w:cs="Arial" w:eastAsia="Arial" w:hAnsi="Arial"/>
          <w:b/>
          <w:bCs/>
          <w:color w:val="6D28D9"/>
          <w:sz w:val="22"/>
          <w:szCs w:val="22"/>
        </w:rPr>
        <w:t xml:space="preserve">4.1</w:t>
      </w:r>
      <w:r>
        <w:rPr>
          <w:rFonts w:ascii="Arial" w:cs="Arial" w:eastAsia="Arial" w:hAnsi="Arial"/>
          <w:b/>
          <w:bCs/>
          <w:color w:val="D97706"/>
          <w:sz w:val="18"/>
          <w:szCs w:val="18"/>
        </w:rPr>
        <w:t xml:space="preserve">  ★</w:t>
      </w:r>
      <w:r>
        <w:rPr>
          <w:rFonts w:ascii="Arial" w:cs="Arial" w:eastAsia="Arial" w:hAnsi="Arial"/>
          <w:i/>
          <w:iCs/>
          <w:color w:val="6B7280"/>
          <w:sz w:val="19"/>
          <w:szCs w:val="19"/>
        </w:rPr>
        <w:t xml:space="preserve">   Use the chlorobenzene partial rate factors to predict the percentage of 2-, 3- and 4-chloronitrobenzene formed on nitration, and c…</w:t>
      </w:r>
    </w:p>
    <w:p>
      <w:pPr>
        <w:spacing w:after="40" w:before="60" w:line="276"/>
        <w:ind w:left="400"/>
      </w:pPr>
      <w:r>
        <w:rPr>
          <w:rFonts w:ascii="Arial" w:cs="Arial" w:eastAsia="Arial" w:hAnsi="Arial"/>
          <w:color w:val="14532D"/>
          <w:sz w:val="21"/>
          <w:szCs w:val="21"/>
        </w:rPr>
        <w:t xml:space="preserve">Weight by number of equivalent positions: ortho 2 × 0.030 = 0.060; meta 2 × 0.0009 = 0.0018; para 0.14. Total 0.2018. 2-: 30%; 3-: 0.9%; 4-: 69%. Overall relative rate = 0.2018/6 ≈ 0.034 of benzene — about 30 times slower (deactivated) yet almost entirely ortho/para (experiment: 30 : 1 : 69).</w:t>
      </w:r>
    </w:p>
    <w:p>
      <w:pPr>
        <w:keepNext/>
        <w:spacing w:after="20" w:before="120" w:line="276"/>
      </w:pPr>
      <w:r>
        <w:rPr>
          <w:rFonts w:ascii="Arial" w:cs="Arial" w:eastAsia="Arial" w:hAnsi="Arial"/>
          <w:b/>
          <w:bCs/>
          <w:color w:val="6D28D9"/>
          <w:sz w:val="22"/>
          <w:szCs w:val="22"/>
        </w:rPr>
        <w:t xml:space="preserve">4.2</w:t>
      </w:r>
      <w:r>
        <w:rPr>
          <w:rFonts w:ascii="Arial" w:cs="Arial" w:eastAsia="Arial" w:hAnsi="Arial"/>
          <w:b/>
          <w:bCs/>
          <w:color w:val="D97706"/>
          <w:sz w:val="18"/>
          <w:szCs w:val="18"/>
        </w:rPr>
        <w:t xml:space="preserve">  ★</w:t>
      </w:r>
      <w:r>
        <w:rPr>
          <w:rFonts w:ascii="Arial" w:cs="Arial" w:eastAsia="Arial" w:hAnsi="Arial"/>
          <w:i/>
          <w:iCs/>
          <w:color w:val="6B7280"/>
          <w:sz w:val="19"/>
          <w:szCs w:val="19"/>
        </w:rPr>
        <w:t xml:space="preserve">   Draw the three resonance forms for attack of NO₂⁺ at the para position of nitrobenzene, and the three for attack at the meta posit…</w:t>
      </w:r>
    </w:p>
    <w:p>
      <w:pPr>
        <w:spacing w:after="40" w:before="60" w:line="276"/>
        <w:ind w:left="400"/>
      </w:pPr>
      <w:r>
        <w:rPr>
          <w:rFonts w:ascii="Arial" w:cs="Arial" w:eastAsia="Arial" w:hAnsi="Arial"/>
          <w:color w:val="14532D"/>
          <w:sz w:val="21"/>
          <w:szCs w:val="21"/>
        </w:rPr>
        <w:t xml:space="preserve">Para attack: one of the three forms puts the positive charge on the carbon bearing –NO₂, adjacent to the δ+ N (electrostatic repulsion; no octet-complete stabilisation) — this form contributes little, so the intermediate is less stabilised. Meta attack: the charge sits at positions 2, 4 and 6 relative to the attacked carbon, never on the C–NO₂ carbon — three 'normal' forms.</w:t>
      </w:r>
    </w:p>
    <w:p>
      <w:pPr>
        <w:keepNext/>
        <w:spacing w:after="20" w:before="120" w:line="276"/>
      </w:pPr>
      <w:r>
        <w:rPr>
          <w:rFonts w:ascii="Arial" w:cs="Arial" w:eastAsia="Arial" w:hAnsi="Arial"/>
          <w:b/>
          <w:bCs/>
          <w:color w:val="6D28D9"/>
          <w:sz w:val="22"/>
          <w:szCs w:val="22"/>
        </w:rPr>
        <w:t xml:space="preserve">4.3</w:t>
      </w:r>
      <w:r>
        <w:rPr>
          <w:rFonts w:ascii="Arial" w:cs="Arial" w:eastAsia="Arial" w:hAnsi="Arial"/>
          <w:b/>
          <w:bCs/>
          <w:color w:val="D97706"/>
          <w:sz w:val="18"/>
          <w:szCs w:val="18"/>
        </w:rPr>
        <w:t xml:space="preserve">  ★</w:t>
      </w:r>
      <w:r>
        <w:rPr>
          <w:rFonts w:ascii="Arial" w:cs="Arial" w:eastAsia="Arial" w:hAnsi="Arial"/>
          <w:i/>
          <w:iCs/>
          <w:color w:val="6B7280"/>
          <w:sz w:val="19"/>
          <w:szCs w:val="19"/>
        </w:rPr>
        <w:t xml:space="preserve">   4-Methylphenol is nitrated with dilute nitric acid. Predict the major product and explain your reasoning.</w:t>
      </w:r>
    </w:p>
    <w:p>
      <w:pPr>
        <w:spacing w:after="40" w:before="60" w:line="276"/>
        <w:ind w:left="400"/>
      </w:pPr>
      <w:r>
        <w:rPr>
          <w:rFonts w:ascii="Arial" w:cs="Arial" w:eastAsia="Arial" w:hAnsi="Arial"/>
          <w:color w:val="14532D"/>
          <w:sz w:val="21"/>
          <w:szCs w:val="21"/>
        </w:rPr>
        <w:t xml:space="preserve">Both groups direct to 2,4 relative to themselves; –OH is a far stronger activator (+M with a lone pair) than –CH₃, so the incoming NO₂ goes ortho to OH: 4-methyl-2-nitrophenol (positions 2 and 6 relative to OH are equivalent). The position para to OH is blocked by CH₃.</w:t>
      </w:r>
    </w:p>
    <w:p>
      <w:pPr>
        <w:keepNext/>
        <w:spacing w:after="60" w:before="260" w:line="276"/>
      </w:pPr>
      <w:r>
        <w:rPr>
          <w:rFonts w:ascii="Arial" w:cs="Arial" w:eastAsia="Arial" w:hAnsi="Arial"/>
          <w:b/>
          <w:bCs/>
          <w:color w:val="6D28D9"/>
          <w:sz w:val="26"/>
          <w:szCs w:val="26"/>
        </w:rPr>
        <w:t xml:space="preserve">Section 5 — Friedel–Crafts — the fine print</w:t>
      </w:r>
    </w:p>
    <w:p>
      <w:pPr>
        <w:keepNext/>
        <w:spacing w:after="20" w:before="120" w:line="276"/>
      </w:pPr>
      <w:r>
        <w:rPr>
          <w:rFonts w:ascii="Arial" w:cs="Arial" w:eastAsia="Arial" w:hAnsi="Arial"/>
          <w:b/>
          <w:bCs/>
          <w:color w:val="6D28D9"/>
          <w:sz w:val="22"/>
          <w:szCs w:val="22"/>
        </w:rPr>
        <w:t xml:space="preserve">5.1</w:t>
      </w:r>
      <w:r>
        <w:rPr>
          <w:rFonts w:ascii="Arial" w:cs="Arial" w:eastAsia="Arial" w:hAnsi="Arial"/>
          <w:b/>
          <w:bCs/>
          <w:color w:val="D97706"/>
          <w:sz w:val="18"/>
          <w:szCs w:val="18"/>
        </w:rPr>
        <w:t xml:space="preserve">  ★</w:t>
      </w:r>
      <w:r>
        <w:rPr>
          <w:rFonts w:ascii="Arial" w:cs="Arial" w:eastAsia="Arial" w:hAnsi="Arial"/>
          <w:i/>
          <w:iCs/>
          <w:color w:val="6B7280"/>
          <w:sz w:val="19"/>
          <w:szCs w:val="19"/>
        </w:rPr>
        <w:t xml:space="preserve">   Suggest a two-step synthesis of butylbenzene, C₆H₅CH₂CH₂CH₂CH₃, from benzene and explain why direct alkylation with 1-chlorobutane…</w:t>
      </w:r>
    </w:p>
    <w:p>
      <w:pPr>
        <w:spacing w:after="40" w:before="60" w:line="276"/>
        <w:ind w:left="400"/>
      </w:pPr>
      <w:r>
        <w:rPr>
          <w:rFonts w:ascii="Arial" w:cs="Arial" w:eastAsia="Arial" w:hAnsi="Arial"/>
          <w:color w:val="14532D"/>
          <w:sz w:val="21"/>
          <w:szCs w:val="21"/>
        </w:rPr>
        <w:t xml:space="preserve">Step 1: benzene + CH₃CH₂CH₂COCl / AlCl₃ → 1-phenylbutan-1-one (acylation; no rearrangement, mono-substitution). Step 2: Clemmensen reduction (Zn(Hg), conc. HCl, heat) or Wolff–Kishner (N₂H₄, KOH, ethane-1,2-diol, 200 °C) → butylbenzene. Direct alkylation: the primary butyl cation rearranges (hydride shift) to the secondary cation, giving mostly (1-methylpropyl)benzene, plus polyalkylation.</w:t>
      </w:r>
    </w:p>
    <w:p>
      <w:pPr>
        <w:keepNext/>
        <w:spacing w:after="20" w:before="120" w:line="276"/>
      </w:pPr>
      <w:r>
        <w:rPr>
          <w:rFonts w:ascii="Arial" w:cs="Arial" w:eastAsia="Arial" w:hAnsi="Arial"/>
          <w:b/>
          <w:bCs/>
          <w:color w:val="6D28D9"/>
          <w:sz w:val="22"/>
          <w:szCs w:val="22"/>
        </w:rPr>
        <w:t xml:space="preserve">5.2</w:t>
      </w:r>
      <w:r>
        <w:rPr>
          <w:rFonts w:ascii="Arial" w:cs="Arial" w:eastAsia="Arial" w:hAnsi="Arial"/>
          <w:b/>
          <w:bCs/>
          <w:color w:val="D97706"/>
          <w:sz w:val="18"/>
          <w:szCs w:val="18"/>
        </w:rPr>
        <w:t xml:space="preserve">  ★</w:t>
      </w:r>
      <w:r>
        <w:rPr>
          <w:rFonts w:ascii="Arial" w:cs="Arial" w:eastAsia="Arial" w:hAnsi="Arial"/>
          <w:i/>
          <w:iCs/>
          <w:color w:val="6B7280"/>
          <w:sz w:val="19"/>
          <w:szCs w:val="19"/>
        </w:rPr>
        <w:t xml:space="preserve">   Draw the two resonance forms of the ethanoyl (acylium) cation and explain why it does not rearrange.</w:t>
      </w:r>
    </w:p>
    <w:p>
      <w:pPr>
        <w:spacing w:after="40" w:before="60" w:line="276"/>
        <w:ind w:left="400"/>
      </w:pPr>
      <w:r>
        <w:rPr>
          <w:rFonts w:ascii="Arial" w:cs="Arial" w:eastAsia="Arial" w:hAnsi="Arial"/>
          <w:color w:val="14532D"/>
          <w:sz w:val="21"/>
          <w:szCs w:val="21"/>
        </w:rPr>
        <w:t xml:space="preserve">CH₃–C≡O⁺ ↔ CH₃–C⁺=O. The positive charge is delocalised onto oxygen (every atom keeps an octet in the first form), so the cation is far more stable than an alkyl cation and has no driving force to rearrange.</w:t>
      </w:r>
    </w:p>
    <w:p>
      <w:pPr>
        <w:keepNext/>
        <w:spacing w:after="20" w:before="120" w:line="276"/>
      </w:pPr>
      <w:r>
        <w:rPr>
          <w:rFonts w:ascii="Arial" w:cs="Arial" w:eastAsia="Arial" w:hAnsi="Arial"/>
          <w:b/>
          <w:bCs/>
          <w:color w:val="6D28D9"/>
          <w:sz w:val="22"/>
          <w:szCs w:val="22"/>
        </w:rPr>
        <w:t xml:space="preserve">5.3</w:t>
      </w:r>
      <w:r>
        <w:rPr>
          <w:rFonts w:ascii="Arial" w:cs="Arial" w:eastAsia="Arial" w:hAnsi="Arial"/>
          <w:b/>
          <w:bCs/>
          <w:color w:val="D97706"/>
          <w:sz w:val="18"/>
          <w:szCs w:val="18"/>
        </w:rPr>
        <w:t xml:space="preserve">  ★</w:t>
      </w:r>
      <w:r>
        <w:rPr>
          <w:rFonts w:ascii="Arial" w:cs="Arial" w:eastAsia="Arial" w:hAnsi="Arial"/>
          <w:i/>
          <w:iCs/>
          <w:color w:val="6B7280"/>
          <w:sz w:val="19"/>
          <w:szCs w:val="19"/>
        </w:rPr>
        <w:t xml:space="preserve">   Explain why nitrobenzene is a good SOLVENT for Friedel–Crafts acylations but methoxybenzene is not.</w:t>
      </w:r>
    </w:p>
    <w:p>
      <w:pPr>
        <w:spacing w:after="40" w:before="60" w:line="276"/>
        <w:ind w:left="400"/>
      </w:pPr>
      <w:r>
        <w:rPr>
          <w:rFonts w:ascii="Arial" w:cs="Arial" w:eastAsia="Arial" w:hAnsi="Arial"/>
          <w:color w:val="14532D"/>
          <w:sz w:val="21"/>
          <w:szCs w:val="21"/>
        </w:rPr>
        <w:t xml:space="preserve">Nitrobenzene is so strongly deactivated by –NO₂ that it does not react with acylium ions, yet it dissolves AlCl₃ and the AlCl₃–acyl chloride complex. Methoxybenzene is activated (–OCH₃, +M) and would itself be acylated (at the para position) faster than benzene.</w:t>
      </w:r>
    </w:p>
    <w:p>
      <w:pPr>
        <w:keepNext/>
        <w:spacing w:after="60" w:before="260" w:line="276"/>
      </w:pPr>
      <w:r>
        <w:rPr>
          <w:rFonts w:ascii="Arial" w:cs="Arial" w:eastAsia="Arial" w:hAnsi="Arial"/>
          <w:b/>
          <w:bCs/>
          <w:color w:val="6D28D9"/>
          <w:sz w:val="26"/>
          <w:szCs w:val="26"/>
        </w:rPr>
        <w:t xml:space="preserve">Section 6 — Phenol: acidity, the Kolbe–Schmitt reaction and aspirin</w:t>
      </w:r>
    </w:p>
    <w:p>
      <w:pPr>
        <w:keepNext/>
        <w:spacing w:after="20" w:before="120" w:line="276"/>
      </w:pPr>
      <w:r>
        <w:rPr>
          <w:rFonts w:ascii="Arial" w:cs="Arial" w:eastAsia="Arial" w:hAnsi="Arial"/>
          <w:b/>
          <w:bCs/>
          <w:color w:val="6D28D9"/>
          <w:sz w:val="22"/>
          <w:szCs w:val="22"/>
        </w:rPr>
        <w:t xml:space="preserve">6.1</w:t>
      </w:r>
      <w:r>
        <w:rPr>
          <w:rFonts w:ascii="Arial" w:cs="Arial" w:eastAsia="Arial" w:hAnsi="Arial"/>
          <w:b/>
          <w:bCs/>
          <w:color w:val="D97706"/>
          <w:sz w:val="18"/>
          <w:szCs w:val="18"/>
        </w:rPr>
        <w:t xml:space="preserve">  ★</w:t>
      </w:r>
      <w:r>
        <w:rPr>
          <w:rFonts w:ascii="Arial" w:cs="Arial" w:eastAsia="Arial" w:hAnsi="Arial"/>
          <w:i/>
          <w:iCs/>
          <w:color w:val="6B7280"/>
          <w:sz w:val="19"/>
          <w:szCs w:val="19"/>
        </w:rPr>
        <w:t xml:space="preserve">   Rank in order of increasing acidity: phenol, 4-methylphenol, 4-nitrophenol, 3-nitrophenol, 2,4-dinitrophenol, cyclohexanol. Justif…</w:t>
      </w:r>
    </w:p>
    <w:p>
      <w:pPr>
        <w:spacing w:after="40" w:before="60" w:line="276"/>
        <w:ind w:left="400"/>
      </w:pPr>
      <w:r>
        <w:rPr>
          <w:rFonts w:ascii="Arial" w:cs="Arial" w:eastAsia="Arial" w:hAnsi="Arial"/>
          <w:color w:val="14532D"/>
          <w:sz w:val="21"/>
          <w:szCs w:val="21"/>
        </w:rPr>
        <w:t xml:space="preserve">cyclohexanol (≈ 18) &lt; 4-methylphenol (10.3) &lt; phenol (10.0) &lt; 3-nitrophenol (8.4) &lt; 4-nitrophenol (7.2) &lt; 2,4-dinitrophenol (4.1). 4-Methylphenol is slightly WEAKER than phenol: –CH₃ is electron-donating (+I), which destabilises the negative charge of the phenoxide.</w:t>
      </w:r>
    </w:p>
    <w:p>
      <w:pPr>
        <w:keepNext/>
        <w:spacing w:after="20" w:before="120" w:line="276"/>
      </w:pPr>
      <w:r>
        <w:rPr>
          <w:rFonts w:ascii="Arial" w:cs="Arial" w:eastAsia="Arial" w:hAnsi="Arial"/>
          <w:b/>
          <w:bCs/>
          <w:color w:val="6D28D9"/>
          <w:sz w:val="22"/>
          <w:szCs w:val="22"/>
        </w:rPr>
        <w:t xml:space="preserve">6.2</w:t>
      </w:r>
      <w:r>
        <w:rPr>
          <w:rFonts w:ascii="Arial" w:cs="Arial" w:eastAsia="Arial" w:hAnsi="Arial"/>
          <w:b/>
          <w:bCs/>
          <w:color w:val="D97706"/>
          <w:sz w:val="18"/>
          <w:szCs w:val="18"/>
        </w:rPr>
        <w:t xml:space="preserve">  ★</w:t>
      </w:r>
      <w:r>
        <w:rPr>
          <w:rFonts w:ascii="Arial" w:cs="Arial" w:eastAsia="Arial" w:hAnsi="Arial"/>
          <w:i/>
          <w:iCs/>
          <w:color w:val="6B7280"/>
          <w:sz w:val="19"/>
          <w:szCs w:val="19"/>
        </w:rPr>
        <w:t xml:space="preserve">   Draw resonance forms to show why the negative charge of 4-nitrophenoxide can be delocalised onto the nitro group, but that of 3-ni…</w:t>
      </w:r>
    </w:p>
    <w:p>
      <w:pPr>
        <w:spacing w:after="40" w:before="60" w:line="276"/>
        <w:ind w:left="400"/>
      </w:pPr>
      <w:r>
        <w:rPr>
          <w:rFonts w:ascii="Arial" w:cs="Arial" w:eastAsia="Arial" w:hAnsi="Arial"/>
          <w:color w:val="14532D"/>
          <w:sz w:val="21"/>
          <w:szCs w:val="21"/>
        </w:rPr>
        <w:t xml:space="preserve">In 4-nitrophenoxide the form with the charge on C4 can push electrons into the C–N bond, placing the negative charge on a nitro oxygen (an extra, very stable form). From C3 no such 'push' reaches the nitro group; only the inductive effect operates — hence pKₐ 8.4 vs 7.2.</w:t>
      </w:r>
    </w:p>
    <w:p>
      <w:pPr>
        <w:keepNext/>
        <w:spacing w:after="20" w:before="120" w:line="276"/>
      </w:pPr>
      <w:r>
        <w:rPr>
          <w:rFonts w:ascii="Arial" w:cs="Arial" w:eastAsia="Arial" w:hAnsi="Arial"/>
          <w:b/>
          <w:bCs/>
          <w:color w:val="6D28D9"/>
          <w:sz w:val="22"/>
          <w:szCs w:val="22"/>
        </w:rPr>
        <w:t xml:space="preserve">6.3</w:t>
      </w:r>
      <w:r>
        <w:rPr>
          <w:rFonts w:ascii="Arial" w:cs="Arial" w:eastAsia="Arial" w:hAnsi="Arial"/>
          <w:b/>
          <w:bCs/>
          <w:color w:val="D97706"/>
          <w:sz w:val="18"/>
          <w:szCs w:val="18"/>
        </w:rPr>
        <w:t xml:space="preserve">  ★</w:t>
      </w:r>
      <w:r>
        <w:rPr>
          <w:rFonts w:ascii="Arial" w:cs="Arial" w:eastAsia="Arial" w:hAnsi="Arial"/>
          <w:i/>
          <w:iCs/>
          <w:color w:val="6B7280"/>
          <w:sz w:val="19"/>
          <w:szCs w:val="19"/>
        </w:rPr>
        <w:t xml:space="preserve">   Explain why the Kolbe–Schmitt reaction is carried out on sodium phenoxide rather than phenol, and why the product is the 2-isomer…</w:t>
      </w:r>
    </w:p>
    <w:p>
      <w:pPr>
        <w:spacing w:after="40" w:before="60" w:line="276"/>
        <w:ind w:left="400"/>
      </w:pPr>
      <w:r>
        <w:rPr>
          <w:rFonts w:ascii="Arial" w:cs="Arial" w:eastAsia="Arial" w:hAnsi="Arial"/>
          <w:color w:val="14532D"/>
          <w:sz w:val="21"/>
          <w:szCs w:val="21"/>
        </w:rPr>
        <w:t xml:space="preserve">O⁻ donates far more electron density than OH (a full negative charge, +M), activating the ring enough to attack CO₂, a weak electrophile. The sodium ion coordinates both the phenoxide oxygen and CO₂, delivering the electrophile to the adjacent (ortho) carbon (with potassium phenoxide at higher temperature the 4-isomer dominates — thermodynamic control).</w:t>
      </w:r>
    </w:p>
    <w:p>
      <w:pPr>
        <w:keepNext/>
        <w:spacing w:after="60" w:before="260" w:line="276"/>
      </w:pPr>
      <w:r>
        <w:rPr>
          <w:rFonts w:ascii="Arial" w:cs="Arial" w:eastAsia="Arial" w:hAnsi="Arial"/>
          <w:b/>
          <w:bCs/>
          <w:color w:val="6D28D9"/>
          <w:sz w:val="26"/>
          <w:szCs w:val="26"/>
        </w:rPr>
        <w:t xml:space="preserve">Section 7 — Nucleophilic aromatic substitution and benzyne</w:t>
      </w:r>
    </w:p>
    <w:p>
      <w:pPr>
        <w:keepNext/>
        <w:spacing w:after="20" w:before="120" w:line="276"/>
      </w:pPr>
      <w:r>
        <w:rPr>
          <w:rFonts w:ascii="Arial" w:cs="Arial" w:eastAsia="Arial" w:hAnsi="Arial"/>
          <w:b/>
          <w:bCs/>
          <w:color w:val="6D28D9"/>
          <w:sz w:val="22"/>
          <w:szCs w:val="22"/>
        </w:rPr>
        <w:t xml:space="preserve">7.1</w:t>
      </w:r>
      <w:r>
        <w:rPr>
          <w:rFonts w:ascii="Arial" w:cs="Arial" w:eastAsia="Arial" w:hAnsi="Arial"/>
          <w:b/>
          <w:bCs/>
          <w:color w:val="D97706"/>
          <w:sz w:val="18"/>
          <w:szCs w:val="18"/>
        </w:rPr>
        <w:t xml:space="preserve">  ★</w:t>
      </w:r>
      <w:r>
        <w:rPr>
          <w:rFonts w:ascii="Arial" w:cs="Arial" w:eastAsia="Arial" w:hAnsi="Arial"/>
          <w:i/>
          <w:iCs/>
          <w:color w:val="6B7280"/>
          <w:sz w:val="19"/>
          <w:szCs w:val="19"/>
        </w:rPr>
        <w:t xml:space="preserve">   Explain why 4-nitrochlorobenzene reacts with NaOH(aq) at 130 °C to give 4-nitrophenol, but chlorobenzene does not react under thes…</w:t>
      </w:r>
    </w:p>
    <w:p>
      <w:pPr>
        <w:spacing w:after="40" w:before="60" w:line="276"/>
        <w:ind w:left="400"/>
      </w:pPr>
      <w:r>
        <w:rPr>
          <w:rFonts w:ascii="Arial" w:cs="Arial" w:eastAsia="Arial" w:hAnsi="Arial"/>
          <w:color w:val="14532D"/>
          <w:sz w:val="21"/>
          <w:szCs w:val="21"/>
        </w:rPr>
        <w:t xml:space="preserve">Addition of OH⁻ to the carbon bearing Cl gives a Meisenheimer intermediate; with a para –NO₂ the negative charge is delocalised onto the nitro oxygens (draw the form with C=N⁺(O⁻)O⁻), lowering the activation energy. Chlorobenzene has no such stabilisation, so the intermediate is far too high in energy.</w:t>
      </w:r>
    </w:p>
    <w:p>
      <w:pPr>
        <w:keepNext/>
        <w:spacing w:after="20" w:before="120" w:line="276"/>
      </w:pPr>
      <w:r>
        <w:rPr>
          <w:rFonts w:ascii="Arial" w:cs="Arial" w:eastAsia="Arial" w:hAnsi="Arial"/>
          <w:b/>
          <w:bCs/>
          <w:color w:val="6D28D9"/>
          <w:sz w:val="22"/>
          <w:szCs w:val="22"/>
        </w:rPr>
        <w:t xml:space="preserve">7.2</w:t>
      </w:r>
      <w:r>
        <w:rPr>
          <w:rFonts w:ascii="Arial" w:cs="Arial" w:eastAsia="Arial" w:hAnsi="Arial"/>
          <w:b/>
          <w:bCs/>
          <w:color w:val="D97706"/>
          <w:sz w:val="18"/>
          <w:szCs w:val="18"/>
        </w:rPr>
        <w:t xml:space="preserve">  ★</w:t>
      </w:r>
      <w:r>
        <w:rPr>
          <w:rFonts w:ascii="Arial" w:cs="Arial" w:eastAsia="Arial" w:hAnsi="Arial"/>
          <w:i/>
          <w:iCs/>
          <w:color w:val="6B7280"/>
          <w:sz w:val="19"/>
          <w:szCs w:val="19"/>
        </w:rPr>
        <w:t xml:space="preserve">   Predict the product(s) when 1-chloro-4-methylbenzene is treated with NaNH₂ in liquid ammonia, and explain using the benzyne mechan…</w:t>
      </w:r>
    </w:p>
    <w:p>
      <w:pPr>
        <w:spacing w:after="40" w:before="60" w:line="276"/>
        <w:ind w:left="400"/>
      </w:pPr>
      <w:r>
        <w:rPr>
          <w:rFonts w:ascii="Arial" w:cs="Arial" w:eastAsia="Arial" w:hAnsi="Arial"/>
          <w:color w:val="14532D"/>
          <w:sz w:val="21"/>
          <w:szCs w:val="21"/>
        </w:rPr>
        <w:t xml:space="preserve">Elimination of HCl gives 4-methylbenzyne (triple bond between C1 and C2). NH₂⁻ can add to either end, giving (after protonation) a roughly 1 : 1 mixture of 4-methylphenylamine and 3-methylphenylamine — a tell-tale 'cine-substitution' product that a direct substitution could never give.</w:t>
      </w:r>
    </w:p>
    <w:p>
      <w:pPr>
        <w:keepNext/>
        <w:spacing w:after="20" w:before="120" w:line="276"/>
      </w:pPr>
      <w:r>
        <w:rPr>
          <w:rFonts w:ascii="Arial" w:cs="Arial" w:eastAsia="Arial" w:hAnsi="Arial"/>
          <w:b/>
          <w:bCs/>
          <w:color w:val="6D28D9"/>
          <w:sz w:val="22"/>
          <w:szCs w:val="22"/>
        </w:rPr>
        <w:t xml:space="preserve">7.3</w:t>
      </w:r>
      <w:r>
        <w:rPr>
          <w:rFonts w:ascii="Arial" w:cs="Arial" w:eastAsia="Arial" w:hAnsi="Arial"/>
          <w:b/>
          <w:bCs/>
          <w:color w:val="D97706"/>
          <w:sz w:val="18"/>
          <w:szCs w:val="18"/>
        </w:rPr>
        <w:t xml:space="preserve">  ★</w:t>
      </w:r>
      <w:r>
        <w:rPr>
          <w:rFonts w:ascii="Arial" w:cs="Arial" w:eastAsia="Arial" w:hAnsi="Arial"/>
          <w:i/>
          <w:iCs/>
          <w:color w:val="6B7280"/>
          <w:sz w:val="19"/>
          <w:szCs w:val="19"/>
        </w:rPr>
        <w:t xml:space="preserve">   Draw the three resonance forms of the Meisenheimer intermediate formed from 2,4-dinitrochlorobenzene and OH⁻, including one with t…</w:t>
      </w:r>
    </w:p>
    <w:p>
      <w:pPr>
        <w:spacing w:after="40" w:before="60" w:line="276"/>
        <w:ind w:left="400"/>
      </w:pPr>
      <w:r>
        <w:rPr>
          <w:rFonts w:ascii="Arial" w:cs="Arial" w:eastAsia="Arial" w:hAnsi="Arial"/>
          <w:color w:val="14532D"/>
          <w:sz w:val="21"/>
          <w:szCs w:val="21"/>
        </w:rPr>
        <w:t xml:space="preserve">Forms with the negative charge at C2 (ortho), C4 (para) and C6 (ortho) relative to the attacked carbon; from C2 or C4 the charge can be pushed onto the adjacent nitro group (N=O → N–O⁻), giving the extra, most stable forms.</w:t>
      </w:r>
    </w:p>
    <w:p>
      <w:pPr>
        <w:keepNext/>
        <w:spacing w:after="60" w:before="260" w:line="276"/>
      </w:pPr>
      <w:r>
        <w:rPr>
          <w:rFonts w:ascii="Arial" w:cs="Arial" w:eastAsia="Arial" w:hAnsi="Arial"/>
          <w:b/>
          <w:bCs/>
          <w:color w:val="312E81"/>
          <w:sz w:val="26"/>
          <w:szCs w:val="26"/>
        </w:rPr>
        <w:t xml:space="preserve">Section 8 — Hückel molecular orbital theory — with numbers</w:t>
      </w:r>
    </w:p>
    <w:p>
      <w:pPr>
        <w:keepNext/>
        <w:spacing w:after="20" w:before="120" w:line="276"/>
      </w:pPr>
      <w:r>
        <w:rPr>
          <w:rFonts w:ascii="Arial" w:cs="Arial" w:eastAsia="Arial" w:hAnsi="Arial"/>
          <w:b/>
          <w:bCs/>
          <w:color w:val="312E81"/>
          <w:sz w:val="22"/>
          <w:szCs w:val="22"/>
        </w:rPr>
        <w:t xml:space="preserve">8.1</w:t>
      </w:r>
      <w:r>
        <w:rPr>
          <w:rFonts w:ascii="Arial" w:cs="Arial" w:eastAsia="Arial" w:hAnsi="Arial"/>
          <w:b/>
          <w:bCs/>
          <w:color w:val="D97706"/>
          <w:sz w:val="18"/>
          <w:szCs w:val="18"/>
        </w:rPr>
        <w:t xml:space="preserve">  ★★</w:t>
      </w:r>
      <w:r>
        <w:rPr>
          <w:rFonts w:ascii="Arial" w:cs="Arial" w:eastAsia="Arial" w:hAnsi="Arial"/>
          <w:i/>
          <w:iCs/>
          <w:color w:val="6B7280"/>
          <w:sz w:val="19"/>
          <w:szCs w:val="19"/>
        </w:rPr>
        <w:t xml:space="preserve">   Cyclobutadiene: write down the four Hückel energies, fill in 4 electrons (Hund's rule) and calculate the delocalisation energy rel…</w:t>
      </w:r>
    </w:p>
    <w:p>
      <w:pPr>
        <w:spacing w:after="40" w:before="60" w:line="276"/>
        <w:ind w:left="400"/>
      </w:pPr>
      <w:r>
        <w:rPr>
          <w:rFonts w:ascii="Arial" w:cs="Arial" w:eastAsia="Arial" w:hAnsi="Arial"/>
          <w:color w:val="14532D"/>
          <w:sz w:val="21"/>
          <w:szCs w:val="21"/>
        </w:rPr>
        <w:t xml:space="preserve">E = α + 2β, α, α, α − 2β. Two electrons fill α + 2β; the next two go singly into the degenerate non-bonding pair at α. Eπ = 2(α + 2β) + 2α = 4α + 4β. Reference (two ethenes) = 4α + 4β → delocalisation energy ZERO, plus an open-shell diradical. Real cyclobutadiene distorts to a rectangle (two localised C=C, a Jahn–Teller distortion) — antiaromatic, isolable only in an argon matrix at 8 K.</w:t>
      </w:r>
    </w:p>
    <w:p>
      <w:pPr>
        <w:keepNext/>
        <w:spacing w:after="20" w:before="120" w:line="276"/>
      </w:pPr>
      <w:r>
        <w:rPr>
          <w:rFonts w:ascii="Arial" w:cs="Arial" w:eastAsia="Arial" w:hAnsi="Arial"/>
          <w:b/>
          <w:bCs/>
          <w:color w:val="312E81"/>
          <w:sz w:val="22"/>
          <w:szCs w:val="22"/>
        </w:rPr>
        <w:t xml:space="preserve">8.2</w:t>
      </w:r>
      <w:r>
        <w:rPr>
          <w:rFonts w:ascii="Arial" w:cs="Arial" w:eastAsia="Arial" w:hAnsi="Arial"/>
          <w:b/>
          <w:bCs/>
          <w:color w:val="D97706"/>
          <w:sz w:val="18"/>
          <w:szCs w:val="18"/>
        </w:rPr>
        <w:t xml:space="preserve">  ★★</w:t>
      </w:r>
      <w:r>
        <w:rPr>
          <w:rFonts w:ascii="Arial" w:cs="Arial" w:eastAsia="Arial" w:hAnsi="Arial"/>
          <w:i/>
          <w:iCs/>
          <w:color w:val="6B7280"/>
          <w:sz w:val="19"/>
          <w:szCs w:val="19"/>
        </w:rPr>
        <w:t xml:space="preserve">   Use Eₖ = α + 2β cos(2πk/8) to write down the orbital energies of planar cyclooctatetraene, then explain why (a) neutral C₈H₈ is a…</w:t>
      </w:r>
    </w:p>
    <w:p>
      <w:pPr>
        <w:spacing w:after="40" w:before="60" w:line="276"/>
        <w:ind w:left="400"/>
      </w:pPr>
      <w:r>
        <w:rPr>
          <w:rFonts w:ascii="Arial" w:cs="Arial" w:eastAsia="Arial" w:hAnsi="Arial"/>
          <w:color w:val="14532D"/>
          <w:sz w:val="21"/>
          <w:szCs w:val="21"/>
        </w:rPr>
        <w:t xml:space="preserve">cos(2πk/8) for k = 0, ±1, ±2, ±3, 4 gives x = +2, +1.414 (×2), 0 (×2), −1.414 (×2), −2. (a) 8 electrons: 2 + 4 in the bonding set, then 2 singly in the degenerate non-bonding pair at α — no stabilisation over four ethenes (8α + 8β vs 2(α+2β)+4(α+1.414β)+2α = 8α + 9.66β … strictly a small gain, but the open-shell diradical is avoided by puckering into a tub with four localised C=C). (b) Two more electrons fill the non-bonding pair completely: closed shell, 10 π electrons (4n + 2), Eπ = 10α + 9.66β vs reference (4 ethenes + lone pair) 10α + 8β → 1.66β of delocalisation energy — the dianion flattens to gain it.</w:t>
      </w:r>
    </w:p>
    <w:p>
      <w:pPr>
        <w:keepNext/>
        <w:spacing w:after="20" w:before="120" w:line="276"/>
      </w:pPr>
      <w:r>
        <w:rPr>
          <w:rFonts w:ascii="Arial" w:cs="Arial" w:eastAsia="Arial" w:hAnsi="Arial"/>
          <w:b/>
          <w:bCs/>
          <w:color w:val="312E81"/>
          <w:sz w:val="22"/>
          <w:szCs w:val="22"/>
        </w:rPr>
        <w:t xml:space="preserve">8.3</w:t>
      </w:r>
      <w:r>
        <w:rPr>
          <w:rFonts w:ascii="Arial" w:cs="Arial" w:eastAsia="Arial" w:hAnsi="Arial"/>
          <w:b/>
          <w:bCs/>
          <w:color w:val="D97706"/>
          <w:sz w:val="18"/>
          <w:szCs w:val="18"/>
        </w:rPr>
        <w:t xml:space="preserve">  ★★</w:t>
      </w:r>
      <w:r>
        <w:rPr>
          <w:rFonts w:ascii="Arial" w:cs="Arial" w:eastAsia="Arial" w:hAnsi="Arial"/>
          <w:i/>
          <w:iCs/>
          <w:color w:val="6B7280"/>
          <w:sz w:val="19"/>
          <w:szCs w:val="19"/>
        </w:rPr>
        <w:t xml:space="preserve">   The HOMO energies of the linear acenes (α + xβ) are: naphthalene x = 0.618, anthracene 0.414, tetracene 0.295, pentacene 0.220 (th…</w:t>
      </w:r>
    </w:p>
    <w:p>
      <w:pPr>
        <w:spacing w:after="40" w:before="60" w:line="276"/>
        <w:ind w:left="400"/>
      </w:pPr>
      <w:r>
        <w:rPr>
          <w:rFonts w:ascii="Arial" w:cs="Arial" w:eastAsia="Arial" w:hAnsi="Arial"/>
          <w:color w:val="14532D"/>
          <w:sz w:val="21"/>
          <w:szCs w:val="21"/>
        </w:rPr>
        <w:t xml:space="preserve">Gaps: 1.236, 0.828, 0.590, 0.440 |β|. Anthracene: 0.828 × 250 = 207 kJ mol⁻¹ per mole of photons → E = 207 000/6.022 × 10²³ = 3.44 × 10⁻¹⁹ J → λ = hc/E = (6.626 × 10⁻³⁴ × 3.00 × 10⁸)/3.44 × 10⁻¹⁹ = 578 nm (crude: HMO overestimates; the real absorption edge is 375 nm). The trend is right: naphthalene and anthracene absorb in the UV (colourless), tetracene absorbs blue light (appears orange), pentacene absorbs yellow-green (appears blue-violet). Longer acenes are also increasingly reactive — small gaps mean easy oxidation.</w:t>
      </w:r>
    </w:p>
    <w:p>
      <w:pPr>
        <w:keepNext/>
        <w:spacing w:after="20" w:before="120" w:line="276"/>
      </w:pPr>
      <w:r>
        <w:rPr>
          <w:rFonts w:ascii="Arial" w:cs="Arial" w:eastAsia="Arial" w:hAnsi="Arial"/>
          <w:b/>
          <w:bCs/>
          <w:color w:val="312E81"/>
          <w:sz w:val="22"/>
          <w:szCs w:val="22"/>
        </w:rPr>
        <w:t xml:space="preserve">8.4</w:t>
      </w:r>
      <w:r>
        <w:rPr>
          <w:rFonts w:ascii="Arial" w:cs="Arial" w:eastAsia="Arial" w:hAnsi="Arial"/>
          <w:b/>
          <w:bCs/>
          <w:color w:val="D97706"/>
          <w:sz w:val="18"/>
          <w:szCs w:val="18"/>
        </w:rPr>
        <w:t xml:space="preserve">  ★★</w:t>
      </w:r>
      <w:r>
        <w:rPr>
          <w:rFonts w:ascii="Arial" w:cs="Arial" w:eastAsia="Arial" w:hAnsi="Arial"/>
          <w:i/>
          <w:iCs/>
          <w:color w:val="6B7280"/>
          <w:sz w:val="19"/>
          <w:szCs w:val="19"/>
        </w:rPr>
        <w:t xml:space="preserve">   Explain in one paragraph what HMO theory leaves out, and why it nevertheless predicts aromaticity correctly.</w:t>
      </w:r>
    </w:p>
    <w:p>
      <w:pPr>
        <w:spacing w:after="40" w:before="60" w:line="276"/>
        <w:ind w:left="400"/>
      </w:pPr>
      <w:r>
        <w:rPr>
          <w:rFonts w:ascii="Arial" w:cs="Arial" w:eastAsia="Arial" w:hAnsi="Arial"/>
          <w:color w:val="14532D"/>
          <w:sz w:val="21"/>
          <w:szCs w:val="21"/>
        </w:rPr>
        <w:t xml:space="preserve">It ignores σ electrons entirely, treats all C–C π interactions as identical (no bond-length dependence), neglects electron–electron repulsion explicitly, neglects overlap (S = 0) and non-neighbour interactions. It works for aromaticity because the 4n + 2 pattern is a consequence of topology (the ring's cyclic symmetry fixes the degeneracy pattern), which these approximations do not disturb — the energies are wrong in detail but the closed-shell/open-shell distinction is robust.</w:t>
      </w:r>
    </w:p>
    <w:p>
      <w:pPr>
        <w:keepNext/>
        <w:spacing w:after="60" w:before="260" w:line="276"/>
      </w:pPr>
      <w:r>
        <w:rPr>
          <w:rFonts w:ascii="Arial" w:cs="Arial" w:eastAsia="Arial" w:hAnsi="Arial"/>
          <w:b/>
          <w:bCs/>
          <w:color w:val="312E81"/>
          <w:sz w:val="26"/>
          <w:szCs w:val="26"/>
        </w:rPr>
        <w:t xml:space="preserve">Section 9 — Linear free-energy relationships: the Hammett equation</w:t>
      </w:r>
    </w:p>
    <w:p>
      <w:pPr>
        <w:keepNext/>
        <w:spacing w:after="20" w:before="120" w:line="276"/>
      </w:pPr>
      <w:r>
        <w:rPr>
          <w:rFonts w:ascii="Arial" w:cs="Arial" w:eastAsia="Arial" w:hAnsi="Arial"/>
          <w:b/>
          <w:bCs/>
          <w:color w:val="312E81"/>
          <w:sz w:val="22"/>
          <w:szCs w:val="22"/>
        </w:rPr>
        <w:t xml:space="preserve">9.1</w:t>
      </w:r>
      <w:r>
        <w:rPr>
          <w:rFonts w:ascii="Arial" w:cs="Arial" w:eastAsia="Arial" w:hAnsi="Arial"/>
          <w:b/>
          <w:bCs/>
          <w:color w:val="D97706"/>
          <w:sz w:val="18"/>
          <w:szCs w:val="18"/>
        </w:rPr>
        <w:t xml:space="preserve">  ★★</w:t>
      </w:r>
      <w:r>
        <w:rPr>
          <w:rFonts w:ascii="Arial" w:cs="Arial" w:eastAsia="Arial" w:hAnsi="Arial"/>
          <w:i/>
          <w:iCs/>
          <w:color w:val="6B7280"/>
          <w:sz w:val="19"/>
          <w:szCs w:val="19"/>
        </w:rPr>
        <w:t xml:space="preserve">   Benzoic acid has pKₐ 4.20. Use σₚ(NO₂) = 0.78 and ρ = 1.00 (by definition) to predict the pKₐ of 4-nitrobenzoic acid. Then predict…</w:t>
      </w:r>
    </w:p>
    <w:p>
      <w:pPr>
        <w:spacing w:after="40" w:before="60" w:line="276"/>
        <w:ind w:left="400"/>
      </w:pPr>
      <w:r>
        <w:rPr>
          <w:rFonts w:ascii="Arial" w:cs="Arial" w:eastAsia="Arial" w:hAnsi="Arial"/>
          <w:color w:val="14532D"/>
          <w:sz w:val="21"/>
          <w:szCs w:val="21"/>
        </w:rPr>
        <w:t xml:space="preserve">log(K/K₀) = ρσ = 0.78 → K/K₀ = 6.0 → pKₐ = 4.20 − 0.78 = 3.42 (experimental 3.44). 4-Methoxy: σₚ = −0.27 → pKₐ = 4.47 (experimental 4.47): the +M donation destabilises the carboxylate anion, so the acid is weaker.</w:t>
      </w:r>
    </w:p>
    <w:p>
      <w:pPr>
        <w:keepNext/>
        <w:spacing w:after="20" w:before="120" w:line="276"/>
      </w:pPr>
      <w:r>
        <w:rPr>
          <w:rFonts w:ascii="Arial" w:cs="Arial" w:eastAsia="Arial" w:hAnsi="Arial"/>
          <w:b/>
          <w:bCs/>
          <w:color w:val="312E81"/>
          <w:sz w:val="22"/>
          <w:szCs w:val="22"/>
        </w:rPr>
        <w:t xml:space="preserve">9.2</w:t>
      </w:r>
      <w:r>
        <w:rPr>
          <w:rFonts w:ascii="Arial" w:cs="Arial" w:eastAsia="Arial" w:hAnsi="Arial"/>
          <w:b/>
          <w:bCs/>
          <w:color w:val="D97706"/>
          <w:sz w:val="18"/>
          <w:szCs w:val="18"/>
        </w:rPr>
        <w:t xml:space="preserve">  ★★</w:t>
      </w:r>
      <w:r>
        <w:rPr>
          <w:rFonts w:ascii="Arial" w:cs="Arial" w:eastAsia="Arial" w:hAnsi="Arial"/>
          <w:i/>
          <w:iCs/>
          <w:color w:val="6B7280"/>
          <w:sz w:val="19"/>
          <w:szCs w:val="19"/>
        </w:rPr>
        <w:t xml:space="preserve">   The bromination of aromatic compounds by Br₂ in acetic acid has ρ = −12.1 (with σ⁺). Estimate how many times faster methoxybenzene…</w:t>
      </w:r>
    </w:p>
    <w:p>
      <w:pPr>
        <w:spacing w:after="40" w:before="60" w:line="276"/>
        <w:ind w:left="400"/>
      </w:pPr>
      <w:r>
        <w:rPr>
          <w:rFonts w:ascii="Arial" w:cs="Arial" w:eastAsia="Arial" w:hAnsi="Arial"/>
          <w:color w:val="14532D"/>
          <w:sz w:val="21"/>
          <w:szCs w:val="21"/>
        </w:rPr>
        <w:t xml:space="preserve">Methoxybenzene: log(k/k₀) = −12.1 × (−0.78) = +9.4 → about 3 × 10⁹ times faster (experiment: ≈ 10⁹). Chlorobenzene: −12.1 × 0.11 = −1.33 → about 21 times slower. |ρ| = 12 is huge: the transition state carries almost a full positive charge on the ring (late, Wheland-like TS — consistent with the Hammond postulate), so the reaction is extremely sensitive to substituents.</w:t>
      </w:r>
    </w:p>
    <w:p>
      <w:pPr>
        <w:keepNext/>
        <w:spacing w:after="20" w:before="120" w:line="276"/>
      </w:pPr>
      <w:r>
        <w:rPr>
          <w:rFonts w:ascii="Arial" w:cs="Arial" w:eastAsia="Arial" w:hAnsi="Arial"/>
          <w:b/>
          <w:bCs/>
          <w:color w:val="312E81"/>
          <w:sz w:val="22"/>
          <w:szCs w:val="22"/>
        </w:rPr>
        <w:t xml:space="preserve">9.3</w:t>
      </w:r>
      <w:r>
        <w:rPr>
          <w:rFonts w:ascii="Arial" w:cs="Arial" w:eastAsia="Arial" w:hAnsi="Arial"/>
          <w:b/>
          <w:bCs/>
          <w:color w:val="D97706"/>
          <w:sz w:val="18"/>
          <w:szCs w:val="18"/>
        </w:rPr>
        <w:t xml:space="preserve">  ★★</w:t>
      </w:r>
      <w:r>
        <w:rPr>
          <w:rFonts w:ascii="Arial" w:cs="Arial" w:eastAsia="Arial" w:hAnsi="Arial"/>
          <w:i/>
          <w:iCs/>
          <w:color w:val="6B7280"/>
          <w:sz w:val="19"/>
          <w:szCs w:val="19"/>
        </w:rPr>
        <w:t xml:space="preserve">   Explain, with resonance structures, why σₚ(OCH₃) is negative but σₘ(OCH₃) is positive, and why a separate σ⁺ scale is needed for e…</w:t>
      </w:r>
    </w:p>
    <w:p>
      <w:pPr>
        <w:spacing w:after="40" w:before="60" w:line="276"/>
        <w:ind w:left="400"/>
      </w:pPr>
      <w:r>
        <w:rPr>
          <w:rFonts w:ascii="Arial" w:cs="Arial" w:eastAsia="Arial" w:hAnsi="Arial"/>
          <w:color w:val="14532D"/>
          <w:sz w:val="21"/>
          <w:szCs w:val="21"/>
        </w:rPr>
        <w:t xml:space="preserve">Meta: only the inductive effect of the electronegative oxygen reaches the reaction site → withdrawing (σₘ = +0.12). Para: the lone pair donates by resonance, placing negative charge on the para carbon (draw the form with C=O⁺CH₃ and C⁻ at para) → donating overall (σₚ = −0.27). In benzoic acid ionisation (the σ reference reaction) the carboxylate charge is insulated from the ring, so resonance donation contributes only modestly. In EAS a positive charge develops ON the ring, conjugated directly with the OCH₃ lone pair, so the donation is far more effective — the standard σ underestimates it; σ⁺ (defined from a reaction that itself builds a benzylic cation) captures the 'through-resonance'.</w:t>
      </w:r>
    </w:p>
    <w:p>
      <w:pPr>
        <w:keepNext/>
        <w:spacing w:after="20" w:before="120" w:line="276"/>
      </w:pPr>
      <w:r>
        <w:rPr>
          <w:rFonts w:ascii="Arial" w:cs="Arial" w:eastAsia="Arial" w:hAnsi="Arial"/>
          <w:b/>
          <w:bCs/>
          <w:color w:val="312E81"/>
          <w:sz w:val="22"/>
          <w:szCs w:val="22"/>
        </w:rPr>
        <w:t xml:space="preserve">9.4</w:t>
      </w:r>
      <w:r>
        <w:rPr>
          <w:rFonts w:ascii="Arial" w:cs="Arial" w:eastAsia="Arial" w:hAnsi="Arial"/>
          <w:b/>
          <w:bCs/>
          <w:color w:val="D97706"/>
          <w:sz w:val="18"/>
          <w:szCs w:val="18"/>
        </w:rPr>
        <w:t xml:space="preserve">  ★★</w:t>
      </w:r>
      <w:r>
        <w:rPr>
          <w:rFonts w:ascii="Arial" w:cs="Arial" w:eastAsia="Arial" w:hAnsi="Arial"/>
          <w:i/>
          <w:iCs/>
          <w:color w:val="6B7280"/>
          <w:sz w:val="19"/>
          <w:szCs w:val="19"/>
        </w:rPr>
        <w:t xml:space="preserve">   Two nitration experiments give relative rates (per position) k/k₀ = 58 for para-CH₃ (σ⁺ = −0.31) and 2.5 × 10⁻⁵ for para-NO₂ (σ⁺ =…</w:t>
      </w:r>
    </w:p>
    <w:p>
      <w:pPr>
        <w:spacing w:after="40" w:before="60" w:line="276"/>
        <w:ind w:left="400"/>
      </w:pPr>
      <w:r>
        <w:rPr>
          <w:rFonts w:ascii="Arial" w:cs="Arial" w:eastAsia="Arial" w:hAnsi="Arial"/>
          <w:color w:val="14532D"/>
          <w:sz w:val="21"/>
          <w:szCs w:val="21"/>
        </w:rPr>
        <w:t xml:space="preserve">CH₃: ρ = log(58)/(−0.31) = 1.763/(−0.31) = −5.7. NO₂: ρ = log(2.5 × 10⁻⁵)/0.79 = (−4.60)/0.79 = −5.8. Consistent: ρ ≈ −6, a single line — encouraging, though very reactive substrates deviate because nitration becomes encounter-controlled (see §10).</w:t>
      </w:r>
    </w:p>
    <w:p>
      <w:pPr>
        <w:keepNext/>
        <w:spacing w:after="20" w:before="120" w:line="276"/>
      </w:pPr>
      <w:r>
        <w:rPr>
          <w:rFonts w:ascii="Arial" w:cs="Arial" w:eastAsia="Arial" w:hAnsi="Arial"/>
          <w:b/>
          <w:bCs/>
          <w:color w:val="312E81"/>
          <w:sz w:val="22"/>
          <w:szCs w:val="22"/>
        </w:rPr>
        <w:t xml:space="preserve">9.5</w:t>
      </w:r>
      <w:r>
        <w:rPr>
          <w:rFonts w:ascii="Arial" w:cs="Arial" w:eastAsia="Arial" w:hAnsi="Arial"/>
          <w:b/>
          <w:bCs/>
          <w:color w:val="D97706"/>
          <w:sz w:val="18"/>
          <w:szCs w:val="18"/>
        </w:rPr>
        <w:t xml:space="preserve">  ★★</w:t>
      </w:r>
      <w:r>
        <w:rPr>
          <w:rFonts w:ascii="Arial" w:cs="Arial" w:eastAsia="Arial" w:hAnsi="Arial"/>
          <w:i/>
          <w:iCs/>
          <w:color w:val="6B7280"/>
          <w:sz w:val="19"/>
          <w:szCs w:val="19"/>
        </w:rPr>
        <w:t xml:space="preserve">   Using the toluene partial rate factors for nitration (o 42, m 2.5, p 58) and bromination (o 600, m 5.5, p 2420): (a) calculate Sf…</w:t>
      </w:r>
    </w:p>
    <w:p>
      <w:pPr>
        <w:spacing w:after="40" w:before="60" w:line="276"/>
        <w:ind w:left="400"/>
      </w:pPr>
      <w:r>
        <w:rPr>
          <w:rFonts w:ascii="Arial" w:cs="Arial" w:eastAsia="Arial" w:hAnsi="Arial"/>
          <w:color w:val="14532D"/>
          <w:sz w:val="21"/>
          <w:szCs w:val="21"/>
        </w:rPr>
        <w:t xml:space="preserve">(a) Nitration Sf = log(58/2.5) = 1.37; bromination Sf = log(2420/5.5) = 2.64. (b) The more reactive (less stable) electrophile has an earlier, more reactant-like transition state and discriminates less between positions/substrates. (c) NO₂⁺ is the more reactive electrophile → lower selectivity → more meta: nitration gives 2 × 2.5/(2 × 42 + 2 × 2.5 + 58) = 3.4% meta; bromination gives 11/(1200 + 11 + 2420) = 0.3% meta. ✓</w:t>
      </w:r>
    </w:p>
    <w:p>
      <w:pPr>
        <w:keepNext/>
        <w:spacing w:after="60" w:before="260" w:line="276"/>
      </w:pPr>
      <w:r>
        <w:rPr>
          <w:rFonts w:ascii="Arial" w:cs="Arial" w:eastAsia="Arial" w:hAnsi="Arial"/>
          <w:b/>
          <w:bCs/>
          <w:color w:val="312E81"/>
          <w:sz w:val="26"/>
          <w:szCs w:val="26"/>
        </w:rPr>
        <w:t xml:space="preserve">Section 10 — Electrophilic substitution at research depth</w:t>
      </w:r>
    </w:p>
    <w:p>
      <w:pPr>
        <w:keepNext/>
        <w:spacing w:after="20" w:before="120" w:line="276"/>
      </w:pPr>
      <w:r>
        <w:rPr>
          <w:rFonts w:ascii="Arial" w:cs="Arial" w:eastAsia="Arial" w:hAnsi="Arial"/>
          <w:b/>
          <w:bCs/>
          <w:color w:val="312E81"/>
          <w:sz w:val="22"/>
          <w:szCs w:val="22"/>
        </w:rPr>
        <w:t xml:space="preserve">10.1</w:t>
      </w:r>
      <w:r>
        <w:rPr>
          <w:rFonts w:ascii="Arial" w:cs="Arial" w:eastAsia="Arial" w:hAnsi="Arial"/>
          <w:b/>
          <w:bCs/>
          <w:color w:val="D97706"/>
          <w:sz w:val="18"/>
          <w:szCs w:val="18"/>
        </w:rPr>
        <w:t xml:space="preserve">  ★★</w:t>
      </w:r>
      <w:r>
        <w:rPr>
          <w:rFonts w:ascii="Arial" w:cs="Arial" w:eastAsia="Arial" w:hAnsi="Arial"/>
          <w:i/>
          <w:iCs/>
          <w:color w:val="6B7280"/>
          <w:sz w:val="19"/>
          <w:szCs w:val="19"/>
        </w:rPr>
        <w:t xml:space="preserve">   Predict the van 't Hoff factor i for (a) HNO₃ dissolved in 100% H₂SO₄, (b) ethanol dissolved in 100% H₂SO₄ (which forms EtOSO₃H).…</w:t>
      </w:r>
    </w:p>
    <w:p>
      <w:pPr>
        <w:spacing w:after="40" w:before="60" w:line="276"/>
        <w:ind w:left="400"/>
      </w:pPr>
      <w:r>
        <w:rPr>
          <w:rFonts w:ascii="Arial" w:cs="Arial" w:eastAsia="Arial" w:hAnsi="Arial"/>
          <w:color w:val="14532D"/>
          <w:sz w:val="21"/>
          <w:szCs w:val="21"/>
        </w:rPr>
        <w:t xml:space="preserve">(a) HNO₃ + 2H₂SO₄ → NO₂⁺ + H₃O⁺ + 2HSO₄⁻: four particles, i = 4 (observed 4). (b) EtOH + 2H₂SO₄ → EtOSO₃H + H₃O⁺ + HSO₄⁻: three particles, i = 3. Only a scheme in which nitric acid loses water to give NO₂⁺ produces four particles; simple protonation (H₂NO₃⁺ + HSO₄⁻) would give i = 2.</w:t>
      </w:r>
    </w:p>
    <w:p>
      <w:pPr>
        <w:keepNext/>
        <w:spacing w:after="20" w:before="120" w:line="276"/>
      </w:pPr>
      <w:r>
        <w:rPr>
          <w:rFonts w:ascii="Arial" w:cs="Arial" w:eastAsia="Arial" w:hAnsi="Arial"/>
          <w:b/>
          <w:bCs/>
          <w:color w:val="312E81"/>
          <w:sz w:val="22"/>
          <w:szCs w:val="22"/>
        </w:rPr>
        <w:t xml:space="preserve">10.2</w:t>
      </w:r>
      <w:r>
        <w:rPr>
          <w:rFonts w:ascii="Arial" w:cs="Arial" w:eastAsia="Arial" w:hAnsi="Arial"/>
          <w:b/>
          <w:bCs/>
          <w:color w:val="D97706"/>
          <w:sz w:val="18"/>
          <w:szCs w:val="18"/>
        </w:rPr>
        <w:t xml:space="preserve">  ★★</w:t>
      </w:r>
      <w:r>
        <w:rPr>
          <w:rFonts w:ascii="Arial" w:cs="Arial" w:eastAsia="Arial" w:hAnsi="Arial"/>
          <w:i/>
          <w:iCs/>
          <w:color w:val="6B7280"/>
          <w:sz w:val="19"/>
          <w:szCs w:val="19"/>
        </w:rPr>
        <w:t xml:space="preserve">   Nitration of toluene, mesitylene (1,3,5-trimethylbenzene) and methoxybenzene by nitric acid in sulfolane all proceed at the same r…</w:t>
      </w:r>
    </w:p>
    <w:p>
      <w:pPr>
        <w:spacing w:after="40" w:before="60" w:line="276"/>
        <w:ind w:left="400"/>
      </w:pPr>
      <w:r>
        <w:rPr>
          <w:rFonts w:ascii="Arial" w:cs="Arial" w:eastAsia="Arial" w:hAnsi="Arial"/>
          <w:color w:val="14532D"/>
          <w:sz w:val="21"/>
          <w:szCs w:val="21"/>
        </w:rPr>
        <w:t xml:space="preserve">The rate-determining step has become the formation of an encounter pair between NO₂⁺ and the arene (diffusion-controlled); every collision leads to product, so the rate no longer depends on ring reactivity. Regioselectivity is still decided AFTER encounter, in the collapse of the encounter pair/π-complex to the σ-complex, so isomer ratios still reflect the directing effects even though overall rates do not.</w:t>
      </w:r>
    </w:p>
    <w:p>
      <w:pPr>
        <w:keepNext/>
        <w:spacing w:after="20" w:before="120" w:line="276"/>
      </w:pPr>
      <w:r>
        <w:rPr>
          <w:rFonts w:ascii="Arial" w:cs="Arial" w:eastAsia="Arial" w:hAnsi="Arial"/>
          <w:b/>
          <w:bCs/>
          <w:color w:val="312E81"/>
          <w:sz w:val="22"/>
          <w:szCs w:val="22"/>
        </w:rPr>
        <w:t xml:space="preserve">10.3</w:t>
      </w:r>
      <w:r>
        <w:rPr>
          <w:rFonts w:ascii="Arial" w:cs="Arial" w:eastAsia="Arial" w:hAnsi="Arial"/>
          <w:b/>
          <w:bCs/>
          <w:color w:val="D97706"/>
          <w:sz w:val="18"/>
          <w:szCs w:val="18"/>
        </w:rPr>
        <w:t xml:space="preserve">  ★★</w:t>
      </w:r>
      <w:r>
        <w:rPr>
          <w:rFonts w:ascii="Arial" w:cs="Arial" w:eastAsia="Arial" w:hAnsi="Arial"/>
          <w:i/>
          <w:iCs/>
          <w:color w:val="6B7280"/>
          <w:sz w:val="19"/>
          <w:szCs w:val="19"/>
        </w:rPr>
        <w:t xml:space="preserve">   Azo coupling of benzenediazonium ions with 2-naphthol-6,8-disulfonate shows kH/kD ≈ 6.5 and is catalysed by pyridine. Nitration of…</w:t>
      </w:r>
    </w:p>
    <w:p>
      <w:pPr>
        <w:spacing w:after="40" w:before="60" w:line="276"/>
        <w:ind w:left="400"/>
      </w:pPr>
      <w:r>
        <w:rPr>
          <w:rFonts w:ascii="Arial" w:cs="Arial" w:eastAsia="Arial" w:hAnsi="Arial"/>
          <w:color w:val="14532D"/>
          <w:sz w:val="21"/>
          <w:szCs w:val="21"/>
        </w:rPr>
        <w:t xml:space="preserve">The diazonium ion is a weak, bulky electrophile; the σ-complex it forms is crowded (peri-interaction) and reverts to reactants readily, so loss of the proton (step 2) is partly rate-determining → large primary KIE. Pyridine, a base, accelerates step 2 by removing the proton. NO₂⁺ is a small, powerful electrophile: step 1 is strongly exothermic and effectively irreversible, so C–H cleavage is after the rate-determining step → no KIE.</w:t>
      </w:r>
    </w:p>
    <w:p>
      <w:pPr>
        <w:keepNext/>
        <w:spacing w:after="20" w:before="120" w:line="276"/>
      </w:pPr>
      <w:r>
        <w:rPr>
          <w:rFonts w:ascii="Arial" w:cs="Arial" w:eastAsia="Arial" w:hAnsi="Arial"/>
          <w:b/>
          <w:bCs/>
          <w:color w:val="312E81"/>
          <w:sz w:val="22"/>
          <w:szCs w:val="22"/>
        </w:rPr>
        <w:t xml:space="preserve">10.4</w:t>
      </w:r>
      <w:r>
        <w:rPr>
          <w:rFonts w:ascii="Arial" w:cs="Arial" w:eastAsia="Arial" w:hAnsi="Arial"/>
          <w:b/>
          <w:bCs/>
          <w:color w:val="D97706"/>
          <w:sz w:val="18"/>
          <w:szCs w:val="18"/>
        </w:rPr>
        <w:t xml:space="preserve">  ★★</w:t>
      </w:r>
      <w:r>
        <w:rPr>
          <w:rFonts w:ascii="Arial" w:cs="Arial" w:eastAsia="Arial" w:hAnsi="Arial"/>
          <w:i/>
          <w:iCs/>
          <w:color w:val="6B7280"/>
          <w:sz w:val="19"/>
          <w:szCs w:val="19"/>
        </w:rPr>
        <w:t xml:space="preserve">   4-Methylphenyltrimethylsilane, 4-CH₃C₆H₄SiMe₃, reacts with Br₂ to give 4-bromotoluene. Draw the mechanism and explain why substitu…</w:t>
      </w:r>
    </w:p>
    <w:p>
      <w:pPr>
        <w:spacing w:after="40" w:before="60" w:line="276"/>
        <w:ind w:left="400"/>
      </w:pPr>
      <w:r>
        <w:rPr>
          <w:rFonts w:ascii="Arial" w:cs="Arial" w:eastAsia="Arial" w:hAnsi="Arial"/>
          <w:color w:val="14532D"/>
          <w:sz w:val="21"/>
          <w:szCs w:val="21"/>
        </w:rPr>
        <w:t xml:space="preserve">Br⁺ attacks the carbon bearing SiMe₃ (ipso). In the resulting σ-complex the C–Si bond is β to the cationic centre and is aligned with the empty p-orbital: hyperconjugation (σ(C–Si) → p) stabilises the intermediate strongly (the β-silicon effect, ~ 150 kJ mol⁻¹ for a full cation). Loss of Me₃Si⁺ (captured by Br⁻ to give Me₃SiBr) regenerates the aromatic ring. The silyl group thus acts as a 'placeholder' that dictates regiochemistry — ipso-desilylation is a standard way to install a group at a defined position.</w:t>
      </w:r>
    </w:p>
    <w:p>
      <w:pPr>
        <w:keepNext/>
        <w:spacing w:after="20" w:before="120" w:line="276"/>
      </w:pPr>
      <w:r>
        <w:rPr>
          <w:rFonts w:ascii="Arial" w:cs="Arial" w:eastAsia="Arial" w:hAnsi="Arial"/>
          <w:b/>
          <w:bCs/>
          <w:color w:val="312E81"/>
          <w:sz w:val="22"/>
          <w:szCs w:val="22"/>
        </w:rPr>
        <w:t xml:space="preserve">10.5</w:t>
      </w:r>
      <w:r>
        <w:rPr>
          <w:rFonts w:ascii="Arial" w:cs="Arial" w:eastAsia="Arial" w:hAnsi="Arial"/>
          <w:b/>
          <w:bCs/>
          <w:color w:val="D97706"/>
          <w:sz w:val="18"/>
          <w:szCs w:val="18"/>
        </w:rPr>
        <w:t xml:space="preserve">  ★★</w:t>
      </w:r>
      <w:r>
        <w:rPr>
          <w:rFonts w:ascii="Arial" w:cs="Arial" w:eastAsia="Arial" w:hAnsi="Arial"/>
          <w:i/>
          <w:iCs/>
          <w:color w:val="6B7280"/>
          <w:sz w:val="19"/>
          <w:szCs w:val="19"/>
        </w:rPr>
        <w:t xml:space="preserve">   Under kinetic control, methylation of toluene (CH₃Cl/AlCl₃, 0 °C) gives mainly 1,2- and 1,4-dimethylbenzene; on prolonged heating…</w:t>
      </w:r>
    </w:p>
    <w:p>
      <w:pPr>
        <w:spacing w:after="40" w:before="60" w:line="276"/>
        <w:ind w:left="400"/>
      </w:pPr>
      <w:r>
        <w:rPr>
          <w:rFonts w:ascii="Arial" w:cs="Arial" w:eastAsia="Arial" w:hAnsi="Arial"/>
          <w:color w:val="14532D"/>
          <w:sz w:val="21"/>
          <w:szCs w:val="21"/>
        </w:rPr>
        <w:t xml:space="preserve">Kinetic: CH₃ is 2,4-directing → ortho/para products. Thermodynamic: Friedel–Crafts alkylation is reversible; protonation of the ring (the σ-complex, an arenium ion) allows methyl groups to migrate by 1,2-shifts. The 1,3-isomer is the thermodynamic sink because its protonated form (charge at C2, C4, C6 of the arenium ion) has BOTH methyl groups on charge-bearing carbons — the most stabilised arenium ion — and there is no steric clash between the methyls.</w:t>
      </w:r>
    </w:p>
    <w:p>
      <w:pPr>
        <w:keepNext/>
        <w:spacing w:after="60" w:before="260" w:line="276"/>
      </w:pPr>
      <w:r>
        <w:rPr>
          <w:rFonts w:ascii="Arial" w:cs="Arial" w:eastAsia="Arial" w:hAnsi="Arial"/>
          <w:b/>
          <w:bCs/>
          <w:color w:val="312E81"/>
          <w:sz w:val="26"/>
          <w:szCs w:val="26"/>
        </w:rPr>
        <w:t xml:space="preserve">Section 11 — Regioselectivity, blocking groups and diazonium chemistry</w:t>
      </w:r>
    </w:p>
    <w:p>
      <w:pPr>
        <w:keepNext/>
        <w:spacing w:after="20" w:before="120" w:line="276"/>
      </w:pPr>
      <w:r>
        <w:rPr>
          <w:rFonts w:ascii="Arial" w:cs="Arial" w:eastAsia="Arial" w:hAnsi="Arial"/>
          <w:b/>
          <w:bCs/>
          <w:color w:val="312E81"/>
          <w:sz w:val="22"/>
          <w:szCs w:val="22"/>
        </w:rPr>
        <w:t xml:space="preserve">11.1</w:t>
      </w:r>
      <w:r>
        <w:rPr>
          <w:rFonts w:ascii="Arial" w:cs="Arial" w:eastAsia="Arial" w:hAnsi="Arial"/>
          <w:b/>
          <w:bCs/>
          <w:color w:val="D97706"/>
          <w:sz w:val="18"/>
          <w:szCs w:val="18"/>
        </w:rPr>
        <w:t xml:space="preserve">  ★★</w:t>
      </w:r>
      <w:r>
        <w:rPr>
          <w:rFonts w:ascii="Arial" w:cs="Arial" w:eastAsia="Arial" w:hAnsi="Arial"/>
          <w:i/>
          <w:iCs/>
          <w:color w:val="6B7280"/>
          <w:sz w:val="19"/>
          <w:szCs w:val="19"/>
        </w:rPr>
        <w:t xml:space="preserve">   Devise a synthesis of 4-bromophenylamine from benzene. Explain why direct bromination of phenylamine is unsuitable.</w:t>
      </w:r>
    </w:p>
    <w:p>
      <w:pPr>
        <w:spacing w:after="40" w:before="60" w:line="276"/>
        <w:ind w:left="400"/>
      </w:pPr>
      <w:r>
        <w:rPr>
          <w:rFonts w:ascii="Arial" w:cs="Arial" w:eastAsia="Arial" w:hAnsi="Arial"/>
          <w:color w:val="14532D"/>
          <w:sz w:val="21"/>
          <w:szCs w:val="21"/>
        </w:rPr>
        <w:t xml:space="preserve">Benzene → nitrobenzene (conc. HNO₃/H₂SO₄, 50 °C) → phenylamine (Sn/conc. HCl, then NaOH) → acetanilide (ethanoic anhydride) → 4-bromoacetanilide (Br₂ in ethanoic acid; the acetamido group is 2,4-directing, mainly para for steric reasons) → 4-bromophenylamine (hydrolyse: aqueous HCl, reflux, then NaOH). Direct bromination: phenylamine is so activated that bromine water gives 2,4,6-tribromophenylamine instantly, and the amine is prone to oxidation.</w:t>
      </w:r>
    </w:p>
    <w:p>
      <w:pPr>
        <w:keepNext/>
        <w:spacing w:after="20" w:before="120" w:line="276"/>
      </w:pPr>
      <w:r>
        <w:rPr>
          <w:rFonts w:ascii="Arial" w:cs="Arial" w:eastAsia="Arial" w:hAnsi="Arial"/>
          <w:b/>
          <w:bCs/>
          <w:color w:val="312E81"/>
          <w:sz w:val="22"/>
          <w:szCs w:val="22"/>
        </w:rPr>
        <w:t xml:space="preserve">11.2</w:t>
      </w:r>
      <w:r>
        <w:rPr>
          <w:rFonts w:ascii="Arial" w:cs="Arial" w:eastAsia="Arial" w:hAnsi="Arial"/>
          <w:b/>
          <w:bCs/>
          <w:color w:val="D97706"/>
          <w:sz w:val="18"/>
          <w:szCs w:val="18"/>
        </w:rPr>
        <w:t xml:space="preserve">  ★★</w:t>
      </w:r>
      <w:r>
        <w:rPr>
          <w:rFonts w:ascii="Arial" w:cs="Arial" w:eastAsia="Arial" w:hAnsi="Arial"/>
          <w:i/>
          <w:iCs/>
          <w:color w:val="6B7280"/>
          <w:sz w:val="19"/>
          <w:szCs w:val="19"/>
        </w:rPr>
        <w:t xml:space="preserve">   1,3,5-Tribromobenzene cannot be made by direct bromination of benzene (which gives the 1,2,4-isomer). Devise a route from benzene.</w:t>
      </w:r>
    </w:p>
    <w:p>
      <w:pPr>
        <w:spacing w:after="40" w:before="60" w:line="276"/>
        <w:ind w:left="400"/>
      </w:pPr>
      <w:r>
        <w:rPr>
          <w:rFonts w:ascii="Arial" w:cs="Arial" w:eastAsia="Arial" w:hAnsi="Arial"/>
          <w:color w:val="14532D"/>
          <w:sz w:val="21"/>
          <w:szCs w:val="21"/>
        </w:rPr>
        <w:t xml:space="preserve">Benzene → nitrobenzene → phenylamine (as above) → 2,4,6-tribromophenylamine (excess Br₂(aq), room temperature — NH₂ directs to all three 2,4,6 positions) → diazotise (NaNO₂/HCl, 0–5 °C; or H₂SO₄/NaNO₂ in ethanol) → treat with H₃PO₂ (hypophosphorous acid) to replace N₂⁺ by H → 1,3,5-tribromobenzene. The amino group is used purely as a removable director.</w:t>
      </w:r>
    </w:p>
    <w:p>
      <w:pPr>
        <w:keepNext/>
        <w:spacing w:after="20" w:before="120" w:line="276"/>
      </w:pPr>
      <w:r>
        <w:rPr>
          <w:rFonts w:ascii="Arial" w:cs="Arial" w:eastAsia="Arial" w:hAnsi="Arial"/>
          <w:b/>
          <w:bCs/>
          <w:color w:val="312E81"/>
          <w:sz w:val="22"/>
          <w:szCs w:val="22"/>
        </w:rPr>
        <w:t xml:space="preserve">11.3</w:t>
      </w:r>
      <w:r>
        <w:rPr>
          <w:rFonts w:ascii="Arial" w:cs="Arial" w:eastAsia="Arial" w:hAnsi="Arial"/>
          <w:b/>
          <w:bCs/>
          <w:color w:val="D97706"/>
          <w:sz w:val="18"/>
          <w:szCs w:val="18"/>
        </w:rPr>
        <w:t xml:space="preserve">  ★★</w:t>
      </w:r>
      <w:r>
        <w:rPr>
          <w:rFonts w:ascii="Arial" w:cs="Arial" w:eastAsia="Arial" w:hAnsi="Arial"/>
          <w:i/>
          <w:iCs/>
          <w:color w:val="6B7280"/>
          <w:sz w:val="19"/>
          <w:szCs w:val="19"/>
        </w:rPr>
        <w:t xml:space="preserve">   Devise a synthesis of 3-bromophenol from benzene. (Direct bromination of phenol gives the 2- and 4-isomers.)</w:t>
      </w:r>
    </w:p>
    <w:p>
      <w:pPr>
        <w:spacing w:after="40" w:before="60" w:line="276"/>
        <w:ind w:left="400"/>
      </w:pPr>
      <w:r>
        <w:rPr>
          <w:rFonts w:ascii="Arial" w:cs="Arial" w:eastAsia="Arial" w:hAnsi="Arial"/>
          <w:color w:val="14532D"/>
          <w:sz w:val="21"/>
          <w:szCs w:val="21"/>
        </w:rPr>
        <w:t xml:space="preserve">Benzene → nitrobenzene → 3-bromonitrobenzene (Br₂/FeBr₃; NO₂ is 3-directing) → 3-bromophenylamine (Sn/HCl) → diazonium salt (NaNO₂/HCl, 0–5 °C) → 3-bromophenol (warm the diazonium solution in water; N₂ is lost and water attacks the aryl cation). The nitro group is used as a meta director and then converted, via NH₂ and N₂⁺, into OH.</w:t>
      </w:r>
    </w:p>
    <w:p>
      <w:pPr>
        <w:keepNext/>
        <w:spacing w:after="20" w:before="120" w:line="276"/>
      </w:pPr>
      <w:r>
        <w:rPr>
          <w:rFonts w:ascii="Arial" w:cs="Arial" w:eastAsia="Arial" w:hAnsi="Arial"/>
          <w:b/>
          <w:bCs/>
          <w:color w:val="312E81"/>
          <w:sz w:val="22"/>
          <w:szCs w:val="22"/>
        </w:rPr>
        <w:t xml:space="preserve">11.4</w:t>
      </w:r>
      <w:r>
        <w:rPr>
          <w:rFonts w:ascii="Arial" w:cs="Arial" w:eastAsia="Arial" w:hAnsi="Arial"/>
          <w:b/>
          <w:bCs/>
          <w:color w:val="D97706"/>
          <w:sz w:val="18"/>
          <w:szCs w:val="18"/>
        </w:rPr>
        <w:t xml:space="preserve">  ★★</w:t>
      </w:r>
      <w:r>
        <w:rPr>
          <w:rFonts w:ascii="Arial" w:cs="Arial" w:eastAsia="Arial" w:hAnsi="Arial"/>
          <w:i/>
          <w:iCs/>
          <w:color w:val="6B7280"/>
          <w:sz w:val="19"/>
          <w:szCs w:val="19"/>
        </w:rPr>
        <w:t xml:space="preserve">   Predict the major mono-nitration product of (a) 4-methylnitrobenzene, (b) 3-methylphenol, (c) 4-tert-butyltoluene, (d) 4-methylace…</w:t>
      </w:r>
    </w:p>
    <w:p>
      <w:pPr>
        <w:spacing w:after="40" w:before="60" w:line="276"/>
        <w:ind w:left="400"/>
      </w:pPr>
      <w:r>
        <w:rPr>
          <w:rFonts w:ascii="Arial" w:cs="Arial" w:eastAsia="Arial" w:hAnsi="Arial"/>
          <w:color w:val="14532D"/>
          <w:sz w:val="21"/>
          <w:szCs w:val="21"/>
        </w:rPr>
        <w:t xml:space="preserve">(a) CH₃ (2,4-director, activating) and NO₂ (3-director) both point to the positions ortho to CH₃ (= meta to NO₂): 2,4-dinitromethylbenzene… i.e. 4-methyl-1,3-dinitrobenzene (the new NO₂ at C2 relative to CH₃). (b) OH dominates and directs to C2, C4 and C6; C2 (between the two groups) is hindered, so nitration goes at C4 and C6, giving mainly 3-methyl-4-nitrophenol and 5-methyl-2-nitrophenol. (c) Both alkyl groups direct ortho to themselves; sterics favour ortho to the smaller methyl: 4-tert-butyl-2-nitrotoluene (4-tert-butyl-1-methyl-2-nitrobenzene). (d) NHCOCH₃ is the stronger activator: nitration ortho to it (para is blocked by CH₃): 4-methyl-2-nitroacetanilide.</w:t>
      </w:r>
    </w:p>
    <w:p>
      <w:pPr>
        <w:keepNext/>
        <w:spacing w:after="20" w:before="120" w:line="276"/>
      </w:pPr>
      <w:r>
        <w:rPr>
          <w:rFonts w:ascii="Arial" w:cs="Arial" w:eastAsia="Arial" w:hAnsi="Arial"/>
          <w:b/>
          <w:bCs/>
          <w:color w:val="312E81"/>
          <w:sz w:val="22"/>
          <w:szCs w:val="22"/>
        </w:rPr>
        <w:t xml:space="preserve">11.5</w:t>
      </w:r>
      <w:r>
        <w:rPr>
          <w:rFonts w:ascii="Arial" w:cs="Arial" w:eastAsia="Arial" w:hAnsi="Arial"/>
          <w:b/>
          <w:bCs/>
          <w:color w:val="D97706"/>
          <w:sz w:val="18"/>
          <w:szCs w:val="18"/>
        </w:rPr>
        <w:t xml:space="preserve">  ★★</w:t>
      </w:r>
      <w:r>
        <w:rPr>
          <w:rFonts w:ascii="Arial" w:cs="Arial" w:eastAsia="Arial" w:hAnsi="Arial"/>
          <w:i/>
          <w:iCs/>
          <w:color w:val="6B7280"/>
          <w:sz w:val="19"/>
          <w:szCs w:val="19"/>
        </w:rPr>
        <w:t xml:space="preserve">   Draw the mechanism for the formation of benzenediazonium chloride from phenylamine, NaNO₂ and HCl, starting from the generation of…</w:t>
      </w:r>
    </w:p>
    <w:p>
      <w:pPr>
        <w:spacing w:after="40" w:before="60" w:line="276"/>
        <w:ind w:left="400"/>
      </w:pPr>
      <w:r>
        <w:rPr>
          <w:rFonts w:ascii="Arial" w:cs="Arial" w:eastAsia="Arial" w:hAnsi="Arial"/>
          <w:color w:val="14532D"/>
          <w:sz w:val="21"/>
          <w:szCs w:val="21"/>
        </w:rPr>
        <w:t xml:space="preserve">NaNO₂ + HCl → HNO₂; HNO₂ + H⁺ → H₂O–NO⁺ → NO⁺ + H₂O. The amine nitrogen attacks NO⁺ (N-nitrosation) → Ar–NH₂⁺–N=O → loses H⁺ → N-nitrosamine Ar–NH–N=O → tautomerises to the diazohydroxide Ar–N=N–OH → protonation of OH and loss of water → Ar–N≡N⁺ (diazonium ion). Kept below 10 °C because Ar–N₂⁺ loses N₂ to give the very reactive aryl cation.</w:t>
      </w:r>
    </w:p>
    <w:p>
      <w:pPr>
        <w:keepNext/>
        <w:spacing w:after="60" w:before="260" w:line="276"/>
      </w:pPr>
      <w:r>
        <w:rPr>
          <w:rFonts w:ascii="Arial" w:cs="Arial" w:eastAsia="Arial" w:hAnsi="Arial"/>
          <w:b/>
          <w:bCs/>
          <w:color w:val="312E81"/>
          <w:sz w:val="26"/>
          <w:szCs w:val="26"/>
        </w:rPr>
        <w:t xml:space="preserve">Section 12 — Named reactions and rearrangements of aromatic compounds</w:t>
      </w:r>
    </w:p>
    <w:p>
      <w:pPr>
        <w:keepNext/>
        <w:spacing w:after="20" w:before="120" w:line="276"/>
      </w:pPr>
      <w:r>
        <w:rPr>
          <w:rFonts w:ascii="Arial" w:cs="Arial" w:eastAsia="Arial" w:hAnsi="Arial"/>
          <w:b/>
          <w:bCs/>
          <w:color w:val="312E81"/>
          <w:sz w:val="22"/>
          <w:szCs w:val="22"/>
        </w:rPr>
        <w:t xml:space="preserve">12.1</w:t>
      </w:r>
      <w:r>
        <w:rPr>
          <w:rFonts w:ascii="Arial" w:cs="Arial" w:eastAsia="Arial" w:hAnsi="Arial"/>
          <w:b/>
          <w:bCs/>
          <w:color w:val="D97706"/>
          <w:sz w:val="18"/>
          <w:szCs w:val="18"/>
        </w:rPr>
        <w:t xml:space="preserve">  ★★</w:t>
      </w:r>
      <w:r>
        <w:rPr>
          <w:rFonts w:ascii="Arial" w:cs="Arial" w:eastAsia="Arial" w:hAnsi="Arial"/>
          <w:i/>
          <w:iCs/>
          <w:color w:val="6B7280"/>
          <w:sz w:val="19"/>
          <w:szCs w:val="19"/>
        </w:rPr>
        <w:t xml:space="preserve">   Draw the full mechanism for the acid-catalysed conversion of cumene hydroperoxide into phenol and propanone (the Hock rearrangemen…</w:t>
      </w:r>
    </w:p>
    <w:p>
      <w:pPr>
        <w:spacing w:after="40" w:before="60" w:line="276"/>
        <w:ind w:left="400"/>
      </w:pPr>
      <w:r>
        <w:rPr>
          <w:rFonts w:ascii="Arial" w:cs="Arial" w:eastAsia="Arial" w:hAnsi="Arial"/>
          <w:color w:val="14532D"/>
          <w:sz w:val="21"/>
          <w:szCs w:val="21"/>
        </w:rPr>
        <w:t xml:space="preserve">1. Protonation of the outer oxygen: PhC(CH₃)₂–O–OH₂⁺. 2. Loss of H₂O concerted with migration of Ph from C to O (the C–Ph bond electrons move to O as the O–O bond breaks): gives the oxocarbenium ion (CH₃)₂C=O⁺–Ph. 3. Water adds to the carbocationic carbon → protonated hemiketal (CH₃)₂C(OH)(O⁺H–Ph) → loses H⁺. 4. The hemiketal fragments: protonation of the phenoxy oxygen, expulsion of phenol, giving protonated acetone → acetone. Phenyl migrates because in the transition state the migrating group bridges C and O with a partial positive charge that the aromatic π system delocalises (a phenonium-like bridged TS); a methyl group has no such stabilisation. The same migratory-aptitude argument applies in the Baeyer–Villiger oxidation, where tertiary alkyl and aryl groups migrate far more readily than methyl.</w:t>
      </w:r>
    </w:p>
    <w:p>
      <w:pPr>
        <w:keepNext/>
        <w:spacing w:after="20" w:before="120" w:line="276"/>
      </w:pPr>
      <w:r>
        <w:rPr>
          <w:rFonts w:ascii="Arial" w:cs="Arial" w:eastAsia="Arial" w:hAnsi="Arial"/>
          <w:b/>
          <w:bCs/>
          <w:color w:val="312E81"/>
          <w:sz w:val="22"/>
          <w:szCs w:val="22"/>
        </w:rPr>
        <w:t xml:space="preserve">12.2</w:t>
      </w:r>
      <w:r>
        <w:rPr>
          <w:rFonts w:ascii="Arial" w:cs="Arial" w:eastAsia="Arial" w:hAnsi="Arial"/>
          <w:b/>
          <w:bCs/>
          <w:color w:val="D97706"/>
          <w:sz w:val="18"/>
          <w:szCs w:val="18"/>
        </w:rPr>
        <w:t xml:space="preserve">  ★★</w:t>
      </w:r>
      <w:r>
        <w:rPr>
          <w:rFonts w:ascii="Arial" w:cs="Arial" w:eastAsia="Arial" w:hAnsi="Arial"/>
          <w:i/>
          <w:iCs/>
          <w:color w:val="6B7280"/>
          <w:sz w:val="19"/>
          <w:szCs w:val="19"/>
        </w:rPr>
        <w:t xml:space="preserve">   Phenyl ethanoate is treated with AlCl₃ at (a) 25 °C and (b) 160 °C. Predict the major product in each case and explain the tempera…</w:t>
      </w:r>
    </w:p>
    <w:p>
      <w:pPr>
        <w:spacing w:after="40" w:before="60" w:line="276"/>
        <w:ind w:left="400"/>
      </w:pPr>
      <w:r>
        <w:rPr>
          <w:rFonts w:ascii="Arial" w:cs="Arial" w:eastAsia="Arial" w:hAnsi="Arial"/>
          <w:color w:val="14532D"/>
          <w:sz w:val="21"/>
          <w:szCs w:val="21"/>
        </w:rPr>
        <w:t xml:space="preserve">The acyl group migrates from O to the ring (an intramolecular Friedel–Crafts acylation: AlCl₃ generates the acylium ion, which attacks the ring of the phenoxide–AlCl₃ complex). (a) Kinetic control → 4-hydroxyphenylethanone (para: less hindered, faster). (b) Thermodynamic control → 2-hydroxyphenylethanone (ortho: the product is stabilised by chelation of AlCl₃ between the carbonyl O and the phenoxide O, and after work-up by an intramolecular hydrogen bond; the reversible reaction funnels to it). Related A-level reaction: Friedel–Crafts acylation (6.1.1 d iii).</w:t>
      </w:r>
    </w:p>
    <w:p>
      <w:pPr>
        <w:keepNext/>
        <w:spacing w:after="20" w:before="120" w:line="276"/>
      </w:pPr>
      <w:r>
        <w:rPr>
          <w:rFonts w:ascii="Arial" w:cs="Arial" w:eastAsia="Arial" w:hAnsi="Arial"/>
          <w:b/>
          <w:bCs/>
          <w:color w:val="312E81"/>
          <w:sz w:val="22"/>
          <w:szCs w:val="22"/>
        </w:rPr>
        <w:t xml:space="preserve">12.3</w:t>
      </w:r>
      <w:r>
        <w:rPr>
          <w:rFonts w:ascii="Arial" w:cs="Arial" w:eastAsia="Arial" w:hAnsi="Arial"/>
          <w:b/>
          <w:bCs/>
          <w:color w:val="D97706"/>
          <w:sz w:val="18"/>
          <w:szCs w:val="18"/>
        </w:rPr>
        <w:t xml:space="preserve">  ★★</w:t>
      </w:r>
      <w:r>
        <w:rPr>
          <w:rFonts w:ascii="Arial" w:cs="Arial" w:eastAsia="Arial" w:hAnsi="Arial"/>
          <w:i/>
          <w:iCs/>
          <w:color w:val="6B7280"/>
          <w:sz w:val="19"/>
          <w:szCs w:val="19"/>
        </w:rPr>
        <w:t xml:space="preserve">   Write the mechanism for the Reimer–Tiemann formylation of phenol to 2-hydroxybenzaldehyde. Identify the electrophile and explain w…</w:t>
      </w:r>
    </w:p>
    <w:p>
      <w:pPr>
        <w:spacing w:after="40" w:before="60" w:line="276"/>
        <w:ind w:left="400"/>
      </w:pPr>
      <w:r>
        <w:rPr>
          <w:rFonts w:ascii="Arial" w:cs="Arial" w:eastAsia="Arial" w:hAnsi="Arial"/>
          <w:color w:val="14532D"/>
          <w:sz w:val="21"/>
          <w:szCs w:val="21"/>
        </w:rPr>
        <w:t xml:space="preserve">OH⁻ deprotonates CHCl₃ → CCl₃⁻ → :CCl₂ + Cl⁻ (α-elimination). Phenol is deprotonated to phenoxide (much more nucleophilic). The phenoxide's ortho carbon attacks the empty p-orbital of the carbene (the electrophile), giving a dienone with a –CCl₂⁻ carbanion → protonation → 2-(dichloromethyl)phenol after rearomatisation → hydrolysis of the gem-dichloride (2 × SN with OH⁻/loss of HCl) → aldehyde. Ortho-selectivity: the carbene coordinates to the phenoxide oxygen/its counter-ion and is delivered to the adjacent carbon (and the ortho anion intermediate is stabilised by the oxygen).</w:t>
      </w:r>
    </w:p>
    <w:p>
      <w:pPr>
        <w:keepNext/>
        <w:spacing w:after="20" w:before="120" w:line="276"/>
      </w:pPr>
      <w:r>
        <w:rPr>
          <w:rFonts w:ascii="Arial" w:cs="Arial" w:eastAsia="Arial" w:hAnsi="Arial"/>
          <w:b/>
          <w:bCs/>
          <w:color w:val="312E81"/>
          <w:sz w:val="22"/>
          <w:szCs w:val="22"/>
        </w:rPr>
        <w:t xml:space="preserve">12.4</w:t>
      </w:r>
      <w:r>
        <w:rPr>
          <w:rFonts w:ascii="Arial" w:cs="Arial" w:eastAsia="Arial" w:hAnsi="Arial"/>
          <w:b/>
          <w:bCs/>
          <w:color w:val="D97706"/>
          <w:sz w:val="18"/>
          <w:szCs w:val="18"/>
        </w:rPr>
        <w:t xml:space="preserve">  ★★</w:t>
      </w:r>
      <w:r>
        <w:rPr>
          <w:rFonts w:ascii="Arial" w:cs="Arial" w:eastAsia="Arial" w:hAnsi="Arial"/>
          <w:i/>
          <w:iCs/>
          <w:color w:val="6B7280"/>
          <w:sz w:val="19"/>
          <w:szCs w:val="19"/>
        </w:rPr>
        <w:t xml:space="preserve">   Allyl phenyl ether labelled with deuterium at the CH₂ next to oxygen (Ph–O–CD₂–CH=CH₂) is heated to 200 °C. Draw the product, show…</w:t>
      </w:r>
    </w:p>
    <w:p>
      <w:pPr>
        <w:spacing w:after="40" w:before="60" w:line="276"/>
        <w:ind w:left="400"/>
      </w:pPr>
      <w:r>
        <w:rPr>
          <w:rFonts w:ascii="Arial" w:cs="Arial" w:eastAsia="Arial" w:hAnsi="Arial"/>
          <w:color w:val="14532D"/>
          <w:sz w:val="21"/>
          <w:szCs w:val="21"/>
        </w:rPr>
        <w:t xml:space="preserve">Product: 2-allylphenol with the label at the terminal CH₂: 2-(CH₂–CH=CD₂)C₆H₄OH — the ring carbon bonds to what was the far end of the allyl group (C3), and the CD₂ becomes the terminal =CD₂. This 'allyl inversion' is the signature of a concerted [3,3]-sigmatropic (Claisen) rearrangement through a cyclic six-membered transition state: the O–C1 bond breaks as the ring-C–C3 bond forms. A dissociative (allyl cation/radical) mechanism would scramble the label between both ends.</w:t>
      </w:r>
    </w:p>
    <w:p>
      <w:pPr>
        <w:keepNext/>
        <w:spacing w:after="20" w:before="120" w:line="276"/>
      </w:pPr>
      <w:r>
        <w:rPr>
          <w:rFonts w:ascii="Arial" w:cs="Arial" w:eastAsia="Arial" w:hAnsi="Arial"/>
          <w:b/>
          <w:bCs/>
          <w:color w:val="312E81"/>
          <w:sz w:val="22"/>
          <w:szCs w:val="22"/>
        </w:rPr>
        <w:t xml:space="preserve">12.5</w:t>
      </w:r>
      <w:r>
        <w:rPr>
          <w:rFonts w:ascii="Arial" w:cs="Arial" w:eastAsia="Arial" w:hAnsi="Arial"/>
          <w:b/>
          <w:bCs/>
          <w:color w:val="D97706"/>
          <w:sz w:val="18"/>
          <w:szCs w:val="18"/>
        </w:rPr>
        <w:t xml:space="preserve">  ★★</w:t>
      </w:r>
      <w:r>
        <w:rPr>
          <w:rFonts w:ascii="Arial" w:cs="Arial" w:eastAsia="Arial" w:hAnsi="Arial"/>
          <w:i/>
          <w:iCs/>
          <w:color w:val="6B7280"/>
          <w:sz w:val="19"/>
          <w:szCs w:val="19"/>
        </w:rPr>
        <w:t xml:space="preserve">   Explain why the Vilsmeier–Haack reagent formylates phenol and N,N-dimethylaniline but not benzene, whereas the Gattermann–Koch rea…</w:t>
      </w:r>
    </w:p>
    <w:p>
      <w:pPr>
        <w:spacing w:after="40" w:before="60" w:line="276"/>
        <w:ind w:left="400"/>
      </w:pPr>
      <w:r>
        <w:rPr>
          <w:rFonts w:ascii="Arial" w:cs="Arial" w:eastAsia="Arial" w:hAnsi="Arial"/>
          <w:color w:val="14532D"/>
          <w:sz w:val="21"/>
          <w:szCs w:val="21"/>
        </w:rPr>
        <w:t xml:space="preserve">The chloroiminium ion is a weak, resonance-stabilised electrophile — it needs a strongly activated ring (+M substituent). HC≡O⁺ (from CO + HCl + AlCl₃) is a powerful electrophile that attacks unactivated benzene; but phenol complexes AlCl₃ through its oxygen (deactivating the ring and consuming the catalyst) and CO/HCl gives side reactions with the OH, so Gattermann–Koch fails for phenols (the Reimer–Tiemann or Vilsmeier methods are used instead).</w:t>
      </w:r>
    </w:p>
    <w:p>
      <w:pPr>
        <w:keepNext/>
        <w:spacing w:after="60" w:before="260" w:line="276"/>
      </w:pPr>
      <w:r>
        <w:rPr>
          <w:rFonts w:ascii="Arial" w:cs="Arial" w:eastAsia="Arial" w:hAnsi="Arial"/>
          <w:b/>
          <w:bCs/>
          <w:color w:val="312E81"/>
          <w:sz w:val="26"/>
          <w:szCs w:val="26"/>
        </w:rPr>
        <w:t xml:space="preserve">Section 13 — Making aromatic bonds the modern way: SNAr in depth, benzyne, cross-coupling and directed metalation</w:t>
      </w:r>
    </w:p>
    <w:p>
      <w:pPr>
        <w:keepNext/>
        <w:spacing w:after="20" w:before="120" w:line="276"/>
      </w:pPr>
      <w:r>
        <w:rPr>
          <w:rFonts w:ascii="Arial" w:cs="Arial" w:eastAsia="Arial" w:hAnsi="Arial"/>
          <w:b/>
          <w:bCs/>
          <w:color w:val="312E81"/>
          <w:sz w:val="22"/>
          <w:szCs w:val="22"/>
        </w:rPr>
        <w:t xml:space="preserve">13.1</w:t>
      </w:r>
      <w:r>
        <w:rPr>
          <w:rFonts w:ascii="Arial" w:cs="Arial" w:eastAsia="Arial" w:hAnsi="Arial"/>
          <w:b/>
          <w:bCs/>
          <w:color w:val="D97706"/>
          <w:sz w:val="18"/>
          <w:szCs w:val="18"/>
        </w:rPr>
        <w:t xml:space="preserve">  ★★</w:t>
      </w:r>
      <w:r>
        <w:rPr>
          <w:rFonts w:ascii="Arial" w:cs="Arial" w:eastAsia="Arial" w:hAnsi="Arial"/>
          <w:i/>
          <w:iCs/>
          <w:color w:val="6B7280"/>
          <w:sz w:val="19"/>
          <w:szCs w:val="19"/>
        </w:rPr>
        <w:t xml:space="preserve">   Explain why 1-fluoro-2,4-dinitrobenzene undergoes SNAr with piperidine faster than the chloro analogue, even though F⁻ is a far wo…</w:t>
      </w:r>
    </w:p>
    <w:p>
      <w:pPr>
        <w:spacing w:after="40" w:before="60" w:line="276"/>
        <w:ind w:left="400"/>
      </w:pPr>
      <w:r>
        <w:rPr>
          <w:rFonts w:ascii="Arial" w:cs="Arial" w:eastAsia="Arial" w:hAnsi="Arial"/>
          <w:color w:val="14532D"/>
          <w:sz w:val="21"/>
          <w:szCs w:val="21"/>
        </w:rPr>
        <w:t xml:space="preserve">In SNAr the first step (addition to form the Meisenheimer intermediate) is rate-determining; C–X cleavage happens afterwards, in a fast step. Fluorine's strong −I effect makes the ipso carbon more electrophilic and lowers the energy of the anionic intermediate and of TS1. In SN2 the C–X bond breaks IN the rate-determining step, so the strong C–F bond makes F a poor leaving group. Profile: two-step, first barrier highest; F lowers the first barrier relative to Cl.</w:t>
      </w:r>
    </w:p>
    <w:p>
      <w:pPr>
        <w:keepNext/>
        <w:spacing w:after="20" w:before="120" w:line="276"/>
      </w:pPr>
      <w:r>
        <w:rPr>
          <w:rFonts w:ascii="Arial" w:cs="Arial" w:eastAsia="Arial" w:hAnsi="Arial"/>
          <w:b/>
          <w:bCs/>
          <w:color w:val="312E81"/>
          <w:sz w:val="22"/>
          <w:szCs w:val="22"/>
        </w:rPr>
        <w:t xml:space="preserve">13.2</w:t>
      </w:r>
      <w:r>
        <w:rPr>
          <w:rFonts w:ascii="Arial" w:cs="Arial" w:eastAsia="Arial" w:hAnsi="Arial"/>
          <w:b/>
          <w:bCs/>
          <w:color w:val="D97706"/>
          <w:sz w:val="18"/>
          <w:szCs w:val="18"/>
        </w:rPr>
        <w:t xml:space="preserve">  ★★</w:t>
      </w:r>
      <w:r>
        <w:rPr>
          <w:rFonts w:ascii="Arial" w:cs="Arial" w:eastAsia="Arial" w:hAnsi="Arial"/>
          <w:i/>
          <w:iCs/>
          <w:color w:val="6B7280"/>
          <w:sz w:val="19"/>
          <w:szCs w:val="19"/>
        </w:rPr>
        <w:t xml:space="preserve">   3-Chloroanisole with NaNH₂ in liquid ammonia gives exclusively 3-methoxyphenylamine, whereas 4-chloroanisole gives a mixture of 3-…</w:t>
      </w:r>
    </w:p>
    <w:p>
      <w:pPr>
        <w:spacing w:after="40" w:before="60" w:line="276"/>
        <w:ind w:left="400"/>
      </w:pPr>
      <w:r>
        <w:rPr>
          <w:rFonts w:ascii="Arial" w:cs="Arial" w:eastAsia="Arial" w:hAnsi="Arial"/>
          <w:color w:val="14532D"/>
          <w:sz w:val="21"/>
          <w:szCs w:val="21"/>
        </w:rPr>
        <w:t xml:space="preserve">3-Chloroanisole: the base removes the most acidic proton, H2 (between Cl and the inductively withdrawing OMe), giving 2,3-benzyne. NH₂⁻ adds to C3 rather than C2 because the resulting carbanion at C2 is adjacent to OMe (−I stabilisation); protonation gives the 3-amino product only. 4-Chloroanisole: the only possible benzyne is 3,4-; the anions at C3 and at C4 are both remote from OMe and differ little in stability, so addition at both ends gives a 1 : 1 mixture (cine substitution).</w:t>
      </w:r>
    </w:p>
    <w:p>
      <w:pPr>
        <w:keepNext/>
        <w:spacing w:after="20" w:before="120" w:line="276"/>
      </w:pPr>
      <w:r>
        <w:rPr>
          <w:rFonts w:ascii="Arial" w:cs="Arial" w:eastAsia="Arial" w:hAnsi="Arial"/>
          <w:b/>
          <w:bCs/>
          <w:color w:val="312E81"/>
          <w:sz w:val="22"/>
          <w:szCs w:val="22"/>
        </w:rPr>
        <w:t xml:space="preserve">13.3</w:t>
      </w:r>
      <w:r>
        <w:rPr>
          <w:rFonts w:ascii="Arial" w:cs="Arial" w:eastAsia="Arial" w:hAnsi="Arial"/>
          <w:b/>
          <w:bCs/>
          <w:color w:val="D97706"/>
          <w:sz w:val="18"/>
          <w:szCs w:val="18"/>
        </w:rPr>
        <w:t xml:space="preserve">  ★★</w:t>
      </w:r>
      <w:r>
        <w:rPr>
          <w:rFonts w:ascii="Arial" w:cs="Arial" w:eastAsia="Arial" w:hAnsi="Arial"/>
          <w:i/>
          <w:iCs/>
          <w:color w:val="6B7280"/>
          <w:sz w:val="19"/>
          <w:szCs w:val="19"/>
        </w:rPr>
        <w:t xml:space="preserve">   Propose a synthesis of 2-methoxybenzaldehyde from methoxybenzene using directed ortho-metalation, and explain why an electrophilic…</w:t>
      </w:r>
    </w:p>
    <w:p>
      <w:pPr>
        <w:spacing w:after="40" w:before="60" w:line="276"/>
        <w:ind w:left="400"/>
      </w:pPr>
      <w:r>
        <w:rPr>
          <w:rFonts w:ascii="Arial" w:cs="Arial" w:eastAsia="Arial" w:hAnsi="Arial"/>
          <w:color w:val="14532D"/>
          <w:sz w:val="21"/>
          <w:szCs w:val="21"/>
        </w:rPr>
        <w:t xml:space="preserve">Methoxybenzene + n-BuLi (or s-BuLi/TMEDA, THF, 0 °C): the OMe oxygen coordinates lithium and directs deprotonation ortho → 2-lithioanisole; quench with DMF, then aqueous acid work-up (hydrolysis of the hemiaminal alkoxide) → 2-methoxybenzaldehyde. Vilsmeier formylation of anisole is an electrophilic substitution and goes para (sterically favoured; the ortho isomer is a minor product) — DoM inverts the usual regiochemistry.</w:t>
      </w:r>
    </w:p>
    <w:p>
      <w:pPr>
        <w:keepNext/>
        <w:spacing w:after="20" w:before="120" w:line="276"/>
      </w:pPr>
      <w:r>
        <w:rPr>
          <w:rFonts w:ascii="Arial" w:cs="Arial" w:eastAsia="Arial" w:hAnsi="Arial"/>
          <w:b/>
          <w:bCs/>
          <w:color w:val="312E81"/>
          <w:sz w:val="22"/>
          <w:szCs w:val="22"/>
        </w:rPr>
        <w:t xml:space="preserve">13.4</w:t>
      </w:r>
      <w:r>
        <w:rPr>
          <w:rFonts w:ascii="Arial" w:cs="Arial" w:eastAsia="Arial" w:hAnsi="Arial"/>
          <w:b/>
          <w:bCs/>
          <w:color w:val="D97706"/>
          <w:sz w:val="18"/>
          <w:szCs w:val="18"/>
        </w:rPr>
        <w:t xml:space="preserve">  ★★</w:t>
      </w:r>
      <w:r>
        <w:rPr>
          <w:rFonts w:ascii="Arial" w:cs="Arial" w:eastAsia="Arial" w:hAnsi="Arial"/>
          <w:i/>
          <w:iCs/>
          <w:color w:val="6B7280"/>
          <w:sz w:val="19"/>
          <w:szCs w:val="19"/>
        </w:rPr>
        <w:t xml:space="preserve">   Draw the catalytic cycle for the Suzuki–Miyaura coupling of 4-bromoacetophenone with phenylboronic acid (Pd(PPh₃)₄, K₂CO₃), naming…</w:t>
      </w:r>
    </w:p>
    <w:p>
      <w:pPr>
        <w:spacing w:after="40" w:before="60" w:line="276"/>
        <w:ind w:left="400"/>
      </w:pPr>
      <w:r>
        <w:rPr>
          <w:rFonts w:ascii="Arial" w:cs="Arial" w:eastAsia="Arial" w:hAnsi="Arial"/>
          <w:color w:val="14532D"/>
          <w:sz w:val="21"/>
          <w:szCs w:val="21"/>
        </w:rPr>
        <w:t xml:space="preserve">Pd(0)L₂ + ArBr → oxidative addition → Ar–Pd(II)(Br)L₂; base converts Ar'B(OH)₂ into the boronate Ar'B(OH)₃⁻; transmetalation exchanges Br for Ar' → Ar–Pd(II)(Ar')L₂; reductive elimination forms Ar–Ar' (4-phenylacetophenone) and regenerates Pd(0). Advantages over Friedel–Crafts: works on deactivated (electron-poor) rings such as acetophenone, gives one defined isomer (the C–C bond forms exactly where the halogen was), tolerates ketones, esters, amines and heterocycles, needs only ~1 mol% catalyst, no rearrangements or polysubstitution.</w:t>
      </w:r>
    </w:p>
    <w:p>
      <w:pPr>
        <w:keepNext/>
        <w:spacing w:after="20" w:before="120" w:line="276"/>
      </w:pPr>
      <w:r>
        <w:rPr>
          <w:rFonts w:ascii="Arial" w:cs="Arial" w:eastAsia="Arial" w:hAnsi="Arial"/>
          <w:b/>
          <w:bCs/>
          <w:color w:val="312E81"/>
          <w:sz w:val="22"/>
          <w:szCs w:val="22"/>
        </w:rPr>
        <w:t xml:space="preserve">13.5</w:t>
      </w:r>
      <w:r>
        <w:rPr>
          <w:rFonts w:ascii="Arial" w:cs="Arial" w:eastAsia="Arial" w:hAnsi="Arial"/>
          <w:b/>
          <w:bCs/>
          <w:color w:val="D97706"/>
          <w:sz w:val="18"/>
          <w:szCs w:val="18"/>
        </w:rPr>
        <w:t xml:space="preserve">  ★★</w:t>
      </w:r>
      <w:r>
        <w:rPr>
          <w:rFonts w:ascii="Arial" w:cs="Arial" w:eastAsia="Arial" w:hAnsi="Arial"/>
          <w:i/>
          <w:iCs/>
          <w:color w:val="6B7280"/>
          <w:sz w:val="19"/>
          <w:szCs w:val="19"/>
        </w:rPr>
        <w:t xml:space="preserve">   Benzyne generated from 2-(trimethylsilyl)phenyl triflate and CsF reacts with anthracene to give triptycene. Draw the reaction, cla…</w:t>
      </w:r>
    </w:p>
    <w:p>
      <w:pPr>
        <w:spacing w:after="40" w:before="60" w:line="276"/>
        <w:ind w:left="400"/>
      </w:pPr>
      <w:r>
        <w:rPr>
          <w:rFonts w:ascii="Arial" w:cs="Arial" w:eastAsia="Arial" w:hAnsi="Arial"/>
          <w:color w:val="14532D"/>
          <w:sz w:val="21"/>
          <w:szCs w:val="21"/>
        </w:rPr>
        <w:t xml:space="preserve">Fluoride attacks silicon; the aryl anion expels triflate to give benzyne. Benzyne is a superb dienophile (the strained 'triple bond' in the ring has a very low-lying LUMO). Anthracene's central ring (C9/C10) acts as the diene: a Diels–Alder [4+2] cycloaddition converts the three fused rings (only one Clar sextet) into two isolated benzene rings PLUS the new benzene ring of benzyne — three aromatic sextets, so aromaticity is gained, not lost. The product is the rigid, propeller-shaped triptycene.</w:t>
      </w:r>
    </w:p>
    <w:p>
      <w:pPr>
        <w:keepNext/>
        <w:spacing w:after="60" w:before="260" w:line="276"/>
      </w:pPr>
      <w:r>
        <w:rPr>
          <w:rFonts w:ascii="Arial" w:cs="Arial" w:eastAsia="Arial" w:hAnsi="Arial"/>
          <w:b/>
          <w:bCs/>
          <w:color w:val="312E81"/>
          <w:sz w:val="26"/>
          <w:szCs w:val="26"/>
        </w:rPr>
        <w:t xml:space="preserve">Section 14 — Aromatic heterocycles</w:t>
      </w:r>
    </w:p>
    <w:p>
      <w:pPr>
        <w:keepNext/>
        <w:spacing w:after="20" w:before="120" w:line="276"/>
      </w:pPr>
      <w:r>
        <w:rPr>
          <w:rFonts w:ascii="Arial" w:cs="Arial" w:eastAsia="Arial" w:hAnsi="Arial"/>
          <w:b/>
          <w:bCs/>
          <w:color w:val="312E81"/>
          <w:sz w:val="22"/>
          <w:szCs w:val="22"/>
        </w:rPr>
        <w:t xml:space="preserve">14.1</w:t>
      </w:r>
      <w:r>
        <w:rPr>
          <w:rFonts w:ascii="Arial" w:cs="Arial" w:eastAsia="Arial" w:hAnsi="Arial"/>
          <w:b/>
          <w:bCs/>
          <w:color w:val="D97706"/>
          <w:sz w:val="18"/>
          <w:szCs w:val="18"/>
        </w:rPr>
        <w:t xml:space="preserve">  ★★</w:t>
      </w:r>
      <w:r>
        <w:rPr>
          <w:rFonts w:ascii="Arial" w:cs="Arial" w:eastAsia="Arial" w:hAnsi="Arial"/>
          <w:i/>
          <w:iCs/>
          <w:color w:val="6B7280"/>
          <w:sz w:val="19"/>
          <w:szCs w:val="19"/>
        </w:rPr>
        <w:t xml:space="preserve">   Draw the resonance forms of the intermediate for electrophilic attack on pyrrole at C2 and at C3. Hence explain the observed 2-sel…</w:t>
      </w:r>
    </w:p>
    <w:p>
      <w:pPr>
        <w:spacing w:after="40" w:before="60" w:line="276"/>
        <w:ind w:left="400"/>
      </w:pPr>
      <w:r>
        <w:rPr>
          <w:rFonts w:ascii="Arial" w:cs="Arial" w:eastAsia="Arial" w:hAnsi="Arial"/>
          <w:color w:val="14532D"/>
          <w:sz w:val="21"/>
          <w:szCs w:val="21"/>
        </w:rPr>
        <w:t xml:space="preserve">C2 attack: positive charge delocalised over C3, C5 and N (three forms; the N form has every atom with an octet — an iminium ion). C3 attack: charge over C2 and N only (two forms). More delocalisation → lower-energy intermediate/TS (Hammond) → C2. Vilsmeier: pyrrole-2-carbaldehyde after hydrolysis.</w:t>
      </w:r>
    </w:p>
    <w:p>
      <w:pPr>
        <w:keepNext/>
        <w:spacing w:after="20" w:before="120" w:line="276"/>
      </w:pPr>
      <w:r>
        <w:rPr>
          <w:rFonts w:ascii="Arial" w:cs="Arial" w:eastAsia="Arial" w:hAnsi="Arial"/>
          <w:b/>
          <w:bCs/>
          <w:color w:val="312E81"/>
          <w:sz w:val="22"/>
          <w:szCs w:val="22"/>
        </w:rPr>
        <w:t xml:space="preserve">14.2</w:t>
      </w:r>
      <w:r>
        <w:rPr>
          <w:rFonts w:ascii="Arial" w:cs="Arial" w:eastAsia="Arial" w:hAnsi="Arial"/>
          <w:b/>
          <w:bCs/>
          <w:color w:val="D97706"/>
          <w:sz w:val="18"/>
          <w:szCs w:val="18"/>
        </w:rPr>
        <w:t xml:space="preserve">  ★★</w:t>
      </w:r>
      <w:r>
        <w:rPr>
          <w:rFonts w:ascii="Arial" w:cs="Arial" w:eastAsia="Arial" w:hAnsi="Arial"/>
          <w:i/>
          <w:iCs/>
          <w:color w:val="6B7280"/>
          <w:sz w:val="19"/>
          <w:szCs w:val="19"/>
        </w:rPr>
        <w:t xml:space="preserve">   Nitration of pyridine gives 3-nitropyridine in 6% yield at 300 °C. Devise a two-step route to 4-nitropyridine from pyridine and ex…</w:t>
      </w:r>
    </w:p>
    <w:p>
      <w:pPr>
        <w:spacing w:after="40" w:before="60" w:line="276"/>
        <w:ind w:left="400"/>
      </w:pPr>
      <w:r>
        <w:rPr>
          <w:rFonts w:ascii="Arial" w:cs="Arial" w:eastAsia="Arial" w:hAnsi="Arial"/>
          <w:color w:val="14532D"/>
          <w:sz w:val="21"/>
          <w:szCs w:val="21"/>
        </w:rPr>
        <w:t xml:space="preserve">1. Pyridine + H₂O₂ in ethanoic acid (peracetic acid) → pyridine N-oxide. 2. HNO₃/H₂SO₄ at ≈ 90 °C → 4-nitropyridine N-oxide (the N–O⁻ lone pair donates by resonance to C4, making the ring electron-rich at that position even when the oxygen is protonated). 3. PCl₃ (or PPh₃) deoxygenates → 4-nitropyridine. The N-oxide turns a deactivated, 3-directing ring into an activated, 4-directing one — and the oxygen can be removed afterwards.</w:t>
      </w:r>
    </w:p>
    <w:p>
      <w:pPr>
        <w:keepNext/>
        <w:spacing w:after="20" w:before="120" w:line="276"/>
      </w:pPr>
      <w:r>
        <w:rPr>
          <w:rFonts w:ascii="Arial" w:cs="Arial" w:eastAsia="Arial" w:hAnsi="Arial"/>
          <w:b/>
          <w:bCs/>
          <w:color w:val="312E81"/>
          <w:sz w:val="22"/>
          <w:szCs w:val="22"/>
        </w:rPr>
        <w:t xml:space="preserve">14.3</w:t>
      </w:r>
      <w:r>
        <w:rPr>
          <w:rFonts w:ascii="Arial" w:cs="Arial" w:eastAsia="Arial" w:hAnsi="Arial"/>
          <w:b/>
          <w:bCs/>
          <w:color w:val="D97706"/>
          <w:sz w:val="18"/>
          <w:szCs w:val="18"/>
        </w:rPr>
        <w:t xml:space="preserve">  ★★</w:t>
      </w:r>
      <w:r>
        <w:rPr>
          <w:rFonts w:ascii="Arial" w:cs="Arial" w:eastAsia="Arial" w:hAnsi="Arial"/>
          <w:i/>
          <w:iCs/>
          <w:color w:val="6B7280"/>
          <w:sz w:val="19"/>
          <w:szCs w:val="19"/>
        </w:rPr>
        <w:t xml:space="preserve">   Write the mechanism of the Chichibabin reaction (pyridine + NaNH₂ → 2-aminopyridine + H₂) and explain why hydride, normally a terr…</w:t>
      </w:r>
    </w:p>
    <w:p>
      <w:pPr>
        <w:spacing w:after="40" w:before="60" w:line="276"/>
        <w:ind w:left="400"/>
      </w:pPr>
      <w:r>
        <w:rPr>
          <w:rFonts w:ascii="Arial" w:cs="Arial" w:eastAsia="Arial" w:hAnsi="Arial"/>
          <w:color w:val="14532D"/>
          <w:sz w:val="21"/>
          <w:szCs w:val="21"/>
        </w:rPr>
        <w:t xml:space="preserve">NH₂⁻ adds to C2 (the position where the resulting anion is delocalised onto the electronegative N: an amide-like anion). The dihydropyridine anion then loses H⁻ from C2 to re-aromatise; the hydride is trapped by the N–H of the 2-aminopyridine/ammonia (or by a sodium ion at the surface) to give H₂ — the driving force is the recovery of aromaticity, and the hydride is delivered to a proton, so it is never a free H⁻ in solution.</w:t>
      </w:r>
    </w:p>
    <w:p>
      <w:pPr>
        <w:keepNext/>
        <w:spacing w:after="20" w:before="120" w:line="276"/>
      </w:pPr>
      <w:r>
        <w:rPr>
          <w:rFonts w:ascii="Arial" w:cs="Arial" w:eastAsia="Arial" w:hAnsi="Arial"/>
          <w:b/>
          <w:bCs/>
          <w:color w:val="312E81"/>
          <w:sz w:val="22"/>
          <w:szCs w:val="22"/>
        </w:rPr>
        <w:t xml:space="preserve">14.4</w:t>
      </w:r>
      <w:r>
        <w:rPr>
          <w:rFonts w:ascii="Arial" w:cs="Arial" w:eastAsia="Arial" w:hAnsi="Arial"/>
          <w:b/>
          <w:bCs/>
          <w:color w:val="D97706"/>
          <w:sz w:val="18"/>
          <w:szCs w:val="18"/>
        </w:rPr>
        <w:t xml:space="preserve">  ★★</w:t>
      </w:r>
      <w:r>
        <w:rPr>
          <w:rFonts w:ascii="Arial" w:cs="Arial" w:eastAsia="Arial" w:hAnsi="Arial"/>
          <w:i/>
          <w:iCs/>
          <w:color w:val="6B7280"/>
          <w:sz w:val="19"/>
          <w:szCs w:val="19"/>
        </w:rPr>
        <w:t xml:space="preserve">   Predict the major product of (a) indole + Br₂ (1 equiv., DMF), (b) quinoline + HNO₃/H₂SO₄, (c) furan + maleic anhydride at room te…</w:t>
      </w:r>
    </w:p>
    <w:p>
      <w:pPr>
        <w:spacing w:after="40" w:before="60" w:line="276"/>
        <w:ind w:left="400"/>
      </w:pPr>
      <w:r>
        <w:rPr>
          <w:rFonts w:ascii="Arial" w:cs="Arial" w:eastAsia="Arial" w:hAnsi="Arial"/>
          <w:color w:val="14532D"/>
          <w:sz w:val="21"/>
          <w:szCs w:val="21"/>
        </w:rPr>
        <w:t xml:space="preserve">(a) 3-bromoindole — C3 attack keeps the benzene sextet and gives an iminium-stabilised intermediate. (b) A mixture of 5- and 8-nitroquinoline — the protonated pyridine ring is strongly deactivated, so the electrophile attacks the benzene ring at the positions that keep the pyridinium ring's aromaticity in the intermediate. (c) The Diels–Alder adduct (7-oxanorbornene anhydride) — furan is a weakly aromatic diene. (d) 2-Ethanoylthiophene — thiophene undergoes Friedel–Crafts acylation at C2 with a mild Lewis acid (AlCl₃ would polymerise it).</w:t>
      </w:r>
    </w:p>
    <w:p>
      <w:pPr>
        <w:keepNext/>
        <w:spacing w:after="20" w:before="120" w:line="276"/>
      </w:pPr>
      <w:r>
        <w:rPr>
          <w:rFonts w:ascii="Arial" w:cs="Arial" w:eastAsia="Arial" w:hAnsi="Arial"/>
          <w:b/>
          <w:bCs/>
          <w:color w:val="312E81"/>
          <w:sz w:val="22"/>
          <w:szCs w:val="22"/>
        </w:rPr>
        <w:t xml:space="preserve">14.5</w:t>
      </w:r>
      <w:r>
        <w:rPr>
          <w:rFonts w:ascii="Arial" w:cs="Arial" w:eastAsia="Arial" w:hAnsi="Arial"/>
          <w:b/>
          <w:bCs/>
          <w:color w:val="D97706"/>
          <w:sz w:val="18"/>
          <w:szCs w:val="18"/>
        </w:rPr>
        <w:t xml:space="preserve">  ★★</w:t>
      </w:r>
      <w:r>
        <w:rPr>
          <w:rFonts w:ascii="Arial" w:cs="Arial" w:eastAsia="Arial" w:hAnsi="Arial"/>
          <w:i/>
          <w:iCs/>
          <w:color w:val="6B7280"/>
          <w:sz w:val="19"/>
          <w:szCs w:val="19"/>
        </w:rPr>
        <w:t xml:space="preserve">   Histamine, nicotine and serotonin each contain an aromatic heterocycle. Identify the heterocycle in each and state, with reasoning…</w:t>
      </w:r>
    </w:p>
    <w:p>
      <w:pPr>
        <w:spacing w:after="40" w:before="60" w:line="276"/>
        <w:ind w:left="400"/>
      </w:pPr>
      <w:r>
        <w:rPr>
          <w:rFonts w:ascii="Arial" w:cs="Arial" w:eastAsia="Arial" w:hAnsi="Arial"/>
          <w:color w:val="14532D"/>
          <w:sz w:val="21"/>
          <w:szCs w:val="21"/>
        </w:rPr>
        <w:t xml:space="preserve">Histamine: imidazole — one pyrrole-type N (lone pair in the π system, non-basic) and one pyridine-type N (lone pair in the plane, basic, pKₐH ≈ 7 — which is why histidine buffers physiological pH); moderately electron-rich. Nicotine: pyridine (electron-poor; ring N weakly basic, pKₐH 3.1) plus a saturated pyrrolidine (the strongly basic N, pKₐH 8.0). Serotonin: indole — electron-rich, N non-basic (its lone pair is part of the aromatic system); the basic centre is the side-chain primary amine.</w:t>
      </w:r>
    </w:p>
    <w:p>
      <w:pPr>
        <w:keepNext/>
        <w:spacing w:after="60" w:before="260" w:line="276"/>
      </w:pPr>
      <w:r>
        <w:rPr>
          <w:rFonts w:ascii="Arial" w:cs="Arial" w:eastAsia="Arial" w:hAnsi="Arial"/>
          <w:b/>
          <w:bCs/>
          <w:color w:val="312E81"/>
          <w:sz w:val="26"/>
          <w:szCs w:val="26"/>
        </w:rPr>
        <w:t xml:space="preserve">Section 15 — Spectroscopy of aromatic rings</w:t>
      </w:r>
    </w:p>
    <w:p>
      <w:pPr>
        <w:keepNext/>
        <w:spacing w:after="20" w:before="120" w:line="276"/>
      </w:pPr>
      <w:r>
        <w:rPr>
          <w:rFonts w:ascii="Arial" w:cs="Arial" w:eastAsia="Arial" w:hAnsi="Arial"/>
          <w:b/>
          <w:bCs/>
          <w:color w:val="312E81"/>
          <w:sz w:val="22"/>
          <w:szCs w:val="22"/>
        </w:rPr>
        <w:t xml:space="preserve">15.1</w:t>
      </w:r>
      <w:r>
        <w:rPr>
          <w:rFonts w:ascii="Arial" w:cs="Arial" w:eastAsia="Arial" w:hAnsi="Arial"/>
          <w:b/>
          <w:bCs/>
          <w:color w:val="D97706"/>
          <w:sz w:val="18"/>
          <w:szCs w:val="18"/>
        </w:rPr>
        <w:t xml:space="preserve">  ★★</w:t>
      </w:r>
      <w:r>
        <w:rPr>
          <w:rFonts w:ascii="Arial" w:cs="Arial" w:eastAsia="Arial" w:hAnsi="Arial"/>
          <w:i/>
          <w:iCs/>
          <w:color w:val="6B7280"/>
          <w:sz w:val="19"/>
          <w:szCs w:val="19"/>
        </w:rPr>
        <w:t xml:space="preserve">   An aromatic compound C₈H₁₀ shows three aromatic ¹³C signals and one aliphatic signal; its ¹H spectrum has a 4H singlet at 7.1 ppm…</w:t>
      </w:r>
    </w:p>
    <w:p>
      <w:pPr>
        <w:spacing w:after="40" w:before="60" w:line="276"/>
        <w:ind w:left="400"/>
      </w:pPr>
      <w:r>
        <w:rPr>
          <w:rFonts w:ascii="Arial" w:cs="Arial" w:eastAsia="Arial" w:hAnsi="Arial"/>
          <w:color w:val="14532D"/>
          <w:sz w:val="21"/>
          <w:szCs w:val="21"/>
        </w:rPr>
        <w:t xml:space="preserve">1,4-Dimethylbenzene: symmetry makes all four ring H equivalent (singlet) and gives only three carbon environments (CH₃, ipso C, CH). Ethylbenzene: 5 aromatic H as a multiplet, CH₂ quartet at 2.6, CH₃ triplet at 1.2 (6 ¹³C signals). 1,2-Dimethylbenzene: 4 ring H as a symmetric multiplet, 4 ¹³C environments. 1,3-Dimethylbenzene: 4 ring H in a 1 : 1 : 2 pattern (H2 singlet-like, H5 triplet, H4/H6 doublet), 5 ¹³C environments.</w:t>
      </w:r>
    </w:p>
    <w:p>
      <w:pPr>
        <w:keepNext/>
        <w:spacing w:after="20" w:before="120" w:line="276"/>
      </w:pPr>
      <w:r>
        <w:rPr>
          <w:rFonts w:ascii="Arial" w:cs="Arial" w:eastAsia="Arial" w:hAnsi="Arial"/>
          <w:b/>
          <w:bCs/>
          <w:color w:val="312E81"/>
          <w:sz w:val="22"/>
          <w:szCs w:val="22"/>
        </w:rPr>
        <w:t xml:space="preserve">15.2</w:t>
      </w:r>
      <w:r>
        <w:rPr>
          <w:rFonts w:ascii="Arial" w:cs="Arial" w:eastAsia="Arial" w:hAnsi="Arial"/>
          <w:b/>
          <w:bCs/>
          <w:color w:val="D97706"/>
          <w:sz w:val="18"/>
          <w:szCs w:val="18"/>
        </w:rPr>
        <w:t xml:space="preserve">  ★★</w:t>
      </w:r>
      <w:r>
        <w:rPr>
          <w:rFonts w:ascii="Arial" w:cs="Arial" w:eastAsia="Arial" w:hAnsi="Arial"/>
          <w:i/>
          <w:iCs/>
          <w:color w:val="6B7280"/>
          <w:sz w:val="19"/>
          <w:szCs w:val="19"/>
        </w:rPr>
        <w:t xml:space="preserve">   The ¹H NMR spectrum of 4-nitrotoluene shows δ 8.13 (d, J = 8.5 Hz, 2H), 7.33 (d, J = 8.5 Hz, 2H), 2.45 (s, 3H). Assign every signa…</w:t>
      </w:r>
    </w:p>
    <w:p>
      <w:pPr>
        <w:spacing w:after="40" w:before="60" w:line="276"/>
        <w:ind w:left="400"/>
      </w:pPr>
      <w:r>
        <w:rPr>
          <w:rFonts w:ascii="Arial" w:cs="Arial" w:eastAsia="Arial" w:hAnsi="Arial"/>
          <w:color w:val="14532D"/>
          <w:sz w:val="21"/>
          <w:szCs w:val="21"/>
        </w:rPr>
        <w:t xml:space="preserve">8.13 ppm: H3/H5, ortho to NO₂ — deshielded by the −M/−I nitro group (resonance withdrawal puts δ+ on the ortho carbons) and by the C=O-like anisotropy of NO₂. 7.33 ppm: H2/H6, ortho to CH₃ and meta to NO₂ — near normal aromatic shift, slightly shielded by the +I methyl. J = 8.5 Hz is the ortho coupling H2–H3; each pair appears as a doublet because H2/H6 are equivalent by symmetry (AA'BB' simplified to two doublets). 2.45: ArCH₃ (deshielded relative to toluene's 2.35 by the para NO₂).</w:t>
      </w:r>
    </w:p>
    <w:p>
      <w:pPr>
        <w:keepNext/>
        <w:spacing w:after="20" w:before="120" w:line="276"/>
      </w:pPr>
      <w:r>
        <w:rPr>
          <w:rFonts w:ascii="Arial" w:cs="Arial" w:eastAsia="Arial" w:hAnsi="Arial"/>
          <w:b/>
          <w:bCs/>
          <w:color w:val="312E81"/>
          <w:sz w:val="22"/>
          <w:szCs w:val="22"/>
        </w:rPr>
        <w:t xml:space="preserve">15.3</w:t>
      </w:r>
      <w:r>
        <w:rPr>
          <w:rFonts w:ascii="Arial" w:cs="Arial" w:eastAsia="Arial" w:hAnsi="Arial"/>
          <w:b/>
          <w:bCs/>
          <w:color w:val="D97706"/>
          <w:sz w:val="18"/>
          <w:szCs w:val="18"/>
        </w:rPr>
        <w:t xml:space="preserve">  ★★</w:t>
      </w:r>
      <w:r>
        <w:rPr>
          <w:rFonts w:ascii="Arial" w:cs="Arial" w:eastAsia="Arial" w:hAnsi="Arial"/>
          <w:i/>
          <w:iCs/>
          <w:color w:val="6B7280"/>
          <w:sz w:val="19"/>
          <w:szCs w:val="19"/>
        </w:rPr>
        <w:t xml:space="preserve">   The three dinitrobenzene isomers are hard to tell apart by mass spectrometry. Explain how ¹³C NMR and IR distinguish them, giving…</w:t>
      </w:r>
    </w:p>
    <w:p>
      <w:pPr>
        <w:spacing w:after="40" w:before="60" w:line="276"/>
        <w:ind w:left="400"/>
      </w:pPr>
      <w:r>
        <w:rPr>
          <w:rFonts w:ascii="Arial" w:cs="Arial" w:eastAsia="Arial" w:hAnsi="Arial"/>
          <w:color w:val="14532D"/>
          <w:sz w:val="21"/>
          <w:szCs w:val="21"/>
        </w:rPr>
        <w:t xml:space="preserve">¹³C environments: 1,2-dinitrobenzene 3 (C1/2, C3/6, C4/5); 1,3- 4 (C1/3, C2, C4/6, C5); 1,4- 2 (C1/4, C2/3/5/6). IR out-of-plane C–H bends: 1,2- ≈ 750 cm⁻¹ (four adjacent H); 1,3- ≈ 690 + 780 cm⁻¹ (plus the isolated H2 band near 880); 1,4- ≈ 830 cm⁻¹ (two adjacent H). ¹H NMR also: 1,4- gives a 4H singlet; 1,3- gives a very deshielded H2 (≈ 9.1 ppm, between two nitro groups).</w:t>
      </w:r>
    </w:p>
    <w:p>
      <w:pPr>
        <w:keepNext/>
        <w:spacing w:after="20" w:before="120" w:line="276"/>
      </w:pPr>
      <w:r>
        <w:rPr>
          <w:rFonts w:ascii="Arial" w:cs="Arial" w:eastAsia="Arial" w:hAnsi="Arial"/>
          <w:b/>
          <w:bCs/>
          <w:color w:val="312E81"/>
          <w:sz w:val="22"/>
          <w:szCs w:val="22"/>
        </w:rPr>
        <w:t xml:space="preserve">15.4</w:t>
      </w:r>
      <w:r>
        <w:rPr>
          <w:rFonts w:ascii="Arial" w:cs="Arial" w:eastAsia="Arial" w:hAnsi="Arial"/>
          <w:b/>
          <w:bCs/>
          <w:color w:val="D97706"/>
          <w:sz w:val="18"/>
          <w:szCs w:val="18"/>
        </w:rPr>
        <w:t xml:space="preserve">  ★★</w:t>
      </w:r>
      <w:r>
        <w:rPr>
          <w:rFonts w:ascii="Arial" w:cs="Arial" w:eastAsia="Arial" w:hAnsi="Arial"/>
          <w:i/>
          <w:iCs/>
          <w:color w:val="6B7280"/>
          <w:sz w:val="19"/>
          <w:szCs w:val="19"/>
        </w:rPr>
        <w:t xml:space="preserve">   Predict the ¹H NMR spectrum of 2,4,6-tribromophenol (the product of the A-level bromination of phenol) and of 4-bromophenol, and e…</w:t>
      </w:r>
    </w:p>
    <w:p>
      <w:pPr>
        <w:spacing w:after="40" w:before="60" w:line="276"/>
        <w:ind w:left="400"/>
      </w:pPr>
      <w:r>
        <w:rPr>
          <w:rFonts w:ascii="Arial" w:cs="Arial" w:eastAsia="Arial" w:hAnsi="Arial"/>
          <w:color w:val="14532D"/>
          <w:sz w:val="21"/>
          <w:szCs w:val="21"/>
        </w:rPr>
        <w:t xml:space="preserve">2,4,6-Tribromophenol: one aromatic signal, a 2H singlet at ≈ 7.6 ppm (H3/H5 are equivalent and have no ortho neighbours, so no coupling) plus a broad OH at ≈ 5.8 ppm. 2,3,4-Tribromophenol would give two mutually coupled 1H doublets (J ≈ 9 Hz, H5 and H6). 4-Bromophenol: two 2H doublets (7.3 and 6.7 ppm, J ≈ 8.8 Hz) — the AA'BB' pattern of a 1,4-ring — plus OH. The singlet/no-coupling pattern is unique to the symmetric 2,4,6-isomer.</w:t>
      </w:r>
    </w:p>
    <w:p>
      <w:pPr>
        <w:keepNext/>
        <w:spacing w:after="60" w:before="260" w:line="276"/>
      </w:pPr>
      <w:r>
        <w:rPr>
          <w:rFonts w:ascii="Arial" w:cs="Arial" w:eastAsia="Arial" w:hAnsi="Arial"/>
          <w:b/>
          <w:bCs/>
          <w:color w:val="312E81"/>
          <w:sz w:val="26"/>
          <w:szCs w:val="26"/>
        </w:rPr>
        <w:t xml:space="preserve">Section 16 — Frontiers: what 'aromatic' means today</w:t>
      </w:r>
    </w:p>
    <w:p>
      <w:pPr>
        <w:keepNext/>
        <w:spacing w:after="20" w:before="120" w:line="276"/>
      </w:pPr>
      <w:r>
        <w:rPr>
          <w:rFonts w:ascii="Arial" w:cs="Arial" w:eastAsia="Arial" w:hAnsi="Arial"/>
          <w:b/>
          <w:bCs/>
          <w:color w:val="312E81"/>
          <w:sz w:val="22"/>
          <w:szCs w:val="22"/>
        </w:rPr>
        <w:t xml:space="preserve">16.1</w:t>
      </w:r>
      <w:r>
        <w:rPr>
          <w:rFonts w:ascii="Arial" w:cs="Arial" w:eastAsia="Arial" w:hAnsi="Arial"/>
          <w:b/>
          <w:bCs/>
          <w:color w:val="D97706"/>
          <w:sz w:val="18"/>
          <w:szCs w:val="18"/>
        </w:rPr>
        <w:t xml:space="preserve">  ★★★</w:t>
      </w:r>
      <w:r>
        <w:rPr>
          <w:rFonts w:ascii="Arial" w:cs="Arial" w:eastAsia="Arial" w:hAnsi="Arial"/>
          <w:i/>
          <w:iCs/>
          <w:color w:val="6B7280"/>
          <w:sz w:val="19"/>
          <w:szCs w:val="19"/>
        </w:rPr>
        <w:t xml:space="preserve">   Anthracene and phenanthrene are both C₁₄H₁₀. Use Clar's rule to explain (a) why anthracene is the less stable isomer, and (b) why…</w:t>
      </w:r>
    </w:p>
    <w:p>
      <w:pPr>
        <w:spacing w:after="40" w:before="60" w:line="276"/>
        <w:ind w:left="400"/>
      </w:pPr>
      <w:r>
        <w:rPr>
          <w:rFonts w:ascii="Arial" w:cs="Arial" w:eastAsia="Arial" w:hAnsi="Arial"/>
          <w:color w:val="14532D"/>
          <w:sz w:val="21"/>
          <w:szCs w:val="21"/>
        </w:rPr>
        <w:t xml:space="preserve">(a) Anthracene: only one sextet can be placed (in any one ring; the other two rings share the remaining 4 electrons as localised double bonds) — one sextet. Phenanthrene: sextets in both terminal rings simultaneously, with an isolated C9=C10 double bond — two sextets → more resonance stabilisation (≈ 25 kJ mol⁻¹ by heats of formation). (b) Adding Br₂ across C9–C10 of anthracene converts the middle ring into two sp³ carbons and leaves TWO independent benzene rings — one sextet becomes two, so the addition costs very little aromaticity. In phenanthrene addition at C9–C10 leaves the same two sextets (a biphenyl), gaining nothing, so the ring prefers substitution to keep 14 π electrons; its C9=C10 bond is nevertheless the most alkene-like bond in the molecule (it is a double bond in 4 of the 5 Kekulé structures).</w:t>
      </w:r>
    </w:p>
    <w:p>
      <w:pPr>
        <w:keepNext/>
        <w:spacing w:after="20" w:before="120" w:line="276"/>
      </w:pPr>
      <w:r>
        <w:rPr>
          <w:rFonts w:ascii="Arial" w:cs="Arial" w:eastAsia="Arial" w:hAnsi="Arial"/>
          <w:b/>
          <w:bCs/>
          <w:color w:val="312E81"/>
          <w:sz w:val="22"/>
          <w:szCs w:val="22"/>
        </w:rPr>
        <w:t xml:space="preserve">16.2</w:t>
      </w:r>
      <w:r>
        <w:rPr>
          <w:rFonts w:ascii="Arial" w:cs="Arial" w:eastAsia="Arial" w:hAnsi="Arial"/>
          <w:b/>
          <w:bCs/>
          <w:color w:val="D97706"/>
          <w:sz w:val="18"/>
          <w:szCs w:val="18"/>
        </w:rPr>
        <w:t xml:space="preserve">  ★★★</w:t>
      </w:r>
      <w:r>
        <w:rPr>
          <w:rFonts w:ascii="Arial" w:cs="Arial" w:eastAsia="Arial" w:hAnsi="Arial"/>
          <w:i/>
          <w:iCs/>
          <w:color w:val="6B7280"/>
          <w:sz w:val="19"/>
          <w:szCs w:val="19"/>
        </w:rPr>
        <w:t xml:space="preserve">   Draw the three Kekulé structures of naphthalene. Use them to predict the order of bond lengths C1–C2, C2–C3 and C4a–C8a (the centr…</w:t>
      </w:r>
    </w:p>
    <w:p>
      <w:pPr>
        <w:spacing w:after="40" w:before="60" w:line="276"/>
        <w:ind w:left="400"/>
      </w:pPr>
      <w:r>
        <w:rPr>
          <w:rFonts w:ascii="Arial" w:cs="Arial" w:eastAsia="Arial" w:hAnsi="Arial"/>
          <w:color w:val="14532D"/>
          <w:sz w:val="21"/>
          <w:szCs w:val="21"/>
        </w:rPr>
        <w:t xml:space="preserve">Number the ring C1–C2–C3–C4–C4a–C5–C6–C7–C8–C8a (C4a–C8a is the shared central bond). The three Kekulé structures are: (i) C1=C2, C3=C4, C5=C6, C7=C8, C4a=C8a; (ii) C1=C2, C3=C4, C4a=C5, C6=C7, C8=C8a; (iii) C2=C3, C4=C4a, C8a=C1, C5=C6, C7=C8. C1–C2 is double in two of the three, so its Pauling bond order is 1 + 2/3 = 1.67 (shortest, 0.137 nm ✓); C2–C3 is double in only one (1.33, 0.142 nm ✓); the central bond is double in only one (1.33, 0.142 nm ✓). Simple resonance counting reproduces the real bond alternation — something the 'circle in a hexagon' picture cannot do.</w:t>
      </w:r>
    </w:p>
    <w:p>
      <w:pPr>
        <w:keepNext/>
        <w:spacing w:after="20" w:before="120" w:line="276"/>
      </w:pPr>
      <w:r>
        <w:rPr>
          <w:rFonts w:ascii="Arial" w:cs="Arial" w:eastAsia="Arial" w:hAnsi="Arial"/>
          <w:b/>
          <w:bCs/>
          <w:color w:val="312E81"/>
          <w:sz w:val="22"/>
          <w:szCs w:val="22"/>
        </w:rPr>
        <w:t xml:space="preserve">16.3</w:t>
      </w:r>
      <w:r>
        <w:rPr>
          <w:rFonts w:ascii="Arial" w:cs="Arial" w:eastAsia="Arial" w:hAnsi="Arial"/>
          <w:b/>
          <w:bCs/>
          <w:color w:val="D97706"/>
          <w:sz w:val="18"/>
          <w:szCs w:val="18"/>
        </w:rPr>
        <w:t xml:space="preserve">  ★★★</w:t>
      </w:r>
      <w:r>
        <w:rPr>
          <w:rFonts w:ascii="Arial" w:cs="Arial" w:eastAsia="Arial" w:hAnsi="Arial"/>
          <w:i/>
          <w:iCs/>
          <w:color w:val="6B7280"/>
          <w:sz w:val="19"/>
          <w:szCs w:val="19"/>
        </w:rPr>
        <w:t xml:space="preserve">   Sketch how a Möbius [4n]annulene can be aromatic. What experimental observations would you use to decide whether a newly made twis…</w:t>
      </w:r>
    </w:p>
    <w:p>
      <w:pPr>
        <w:spacing w:after="40" w:before="60" w:line="276"/>
        <w:ind w:left="400"/>
      </w:pPr>
      <w:r>
        <w:rPr>
          <w:rFonts w:ascii="Arial" w:cs="Arial" w:eastAsia="Arial" w:hAnsi="Arial"/>
          <w:color w:val="14532D"/>
          <w:sz w:val="21"/>
          <w:szCs w:val="21"/>
        </w:rPr>
        <w:t xml:space="preserve">A half-twist in the p-orbital array introduces one phase inversion; the Hückel pattern of one non-degenerate lowest orbital plus degenerate pairs becomes all-degenerate pairs, so closed shells occur at 4n electrons. Tests: (1) ¹H NMR ring current — outer H deshielded, inner H shielded (diatropic) for aromatic; the reverse (paratropic) for antiaromatic; (2) bond-length equalisation by X-ray crystallography; (3) computed NICS (negative for aromatic); (4) chemical behaviour — substitution rather than addition; (5) a thermodynamic stabilisation relative to a reference (harder to define for a twisted ring). Herges' 2003 molecule was diagnosed mainly by crystallography and NMR.</w:t>
      </w:r>
    </w:p>
    <w:p>
      <w:pPr>
        <w:keepNext/>
        <w:spacing w:after="20" w:before="120" w:line="276"/>
      </w:pPr>
      <w:r>
        <w:rPr>
          <w:rFonts w:ascii="Arial" w:cs="Arial" w:eastAsia="Arial" w:hAnsi="Arial"/>
          <w:b/>
          <w:bCs/>
          <w:color w:val="312E81"/>
          <w:sz w:val="22"/>
          <w:szCs w:val="22"/>
        </w:rPr>
        <w:t xml:space="preserve">16.4</w:t>
      </w:r>
      <w:r>
        <w:rPr>
          <w:rFonts w:ascii="Arial" w:cs="Arial" w:eastAsia="Arial" w:hAnsi="Arial"/>
          <w:b/>
          <w:bCs/>
          <w:color w:val="D97706"/>
          <w:sz w:val="18"/>
          <w:szCs w:val="18"/>
        </w:rPr>
        <w:t xml:space="preserve">  ★★★</w:t>
      </w:r>
      <w:r>
        <w:rPr>
          <w:rFonts w:ascii="Arial" w:cs="Arial" w:eastAsia="Arial" w:hAnsi="Arial"/>
          <w:i/>
          <w:iCs/>
          <w:color w:val="6B7280"/>
          <w:sz w:val="19"/>
          <w:szCs w:val="19"/>
        </w:rPr>
        <w:t xml:space="preserve">   The Hammett plot for a reaction is a straight line for meta substituents but shows strongly negative deviations for para +M substi…</w:t>
      </w:r>
    </w:p>
    <w:p>
      <w:pPr>
        <w:spacing w:after="40" w:before="60" w:line="276"/>
        <w:ind w:left="400"/>
      </w:pPr>
      <w:r>
        <w:rPr>
          <w:rFonts w:ascii="Arial" w:cs="Arial" w:eastAsia="Arial" w:hAnsi="Arial"/>
          <w:color w:val="14532D"/>
          <w:sz w:val="21"/>
          <w:szCs w:val="21"/>
        </w:rPr>
        <w:t xml:space="preserve">Downward deviation for para donors means these substituents accelerate MORE than ordinary σₚ predicts, i.e. their lone pairs conjugate directly with a developing positive charge — evidence for cationic character in the TS (σ⁺ would linearise the plot). It does not by itself prove a discrete cationic INTERMEDIATE (a concerted process with a polarised TS gives the same signature). Further experiments: measure a kinetic isotope effect or attempt to trap the intermediate; look for common-ion rate depression (a genuine cation returns to reactants when its counter-ion is added); or check whether the Hammett plot is curved when refit with σ⁺ (a break indicates a change in rate-determining step).</w:t>
      </w:r>
    </w:p>
    <w:p>
      <w:pPr>
        <w:keepNext/>
        <w:spacing w:after="60" w:before="260" w:line="276"/>
      </w:pPr>
      <w:r>
        <w:rPr>
          <w:rFonts w:ascii="Arial" w:cs="Arial" w:eastAsia="Arial" w:hAnsi="Arial"/>
          <w:b/>
          <w:bCs/>
          <w:color w:val="BE123C"/>
          <w:sz w:val="26"/>
          <w:szCs w:val="26"/>
        </w:rPr>
        <w:t xml:space="preserve">Section 17 — Challenge problems</w:t>
      </w:r>
    </w:p>
    <w:p>
      <w:pPr>
        <w:keepNext/>
        <w:spacing w:after="20" w:before="120" w:line="276"/>
      </w:pPr>
      <w:r>
        <w:rPr>
          <w:rFonts w:ascii="Arial" w:cs="Arial" w:eastAsia="Arial" w:hAnsi="Arial"/>
          <w:b/>
          <w:bCs/>
          <w:color w:val="BE123C"/>
          <w:sz w:val="22"/>
          <w:szCs w:val="22"/>
        </w:rPr>
        <w:t xml:space="preserve">C1</w:t>
      </w:r>
      <w:r>
        <w:rPr>
          <w:rFonts w:ascii="Arial" w:cs="Arial" w:eastAsia="Arial" w:hAnsi="Arial"/>
          <w:b/>
          <w:bCs/>
          <w:color w:val="D97706"/>
          <w:sz w:val="18"/>
          <w:szCs w:val="18"/>
        </w:rPr>
        <w:t xml:space="preserve">  ★★</w:t>
      </w:r>
      <w:r>
        <w:rPr>
          <w:rFonts w:ascii="Arial" w:cs="Arial" w:eastAsia="Arial" w:hAnsi="Arial"/>
          <w:i/>
          <w:iCs/>
          <w:color w:val="6B7280"/>
          <w:sz w:val="19"/>
          <w:szCs w:val="19"/>
        </w:rPr>
        <w:t xml:space="preserve">   Naphthalene is nitrated almost exclusively at C1 (the 'α' position) rather than C2. Draw the resonance forms of the intermediates…</w:t>
      </w:r>
    </w:p>
    <w:p>
      <w:pPr>
        <w:spacing w:after="40" w:before="60" w:line="276"/>
        <w:ind w:left="400"/>
      </w:pPr>
      <w:r>
        <w:rPr>
          <w:rFonts w:ascii="Arial" w:cs="Arial" w:eastAsia="Arial" w:hAnsi="Arial"/>
          <w:color w:val="14532D"/>
          <w:sz w:val="21"/>
          <w:szCs w:val="21"/>
        </w:rPr>
        <w:t xml:space="preserve">Attack at C1: 7 resonance forms, 4 of which keep one intact benzene ring (aromatic sextet preserved). Attack at C2: 6 forms, only 2 of which keep an intact benzene ring. The C1 intermediate is more stabilised → lower Ea (Hammond) → faster. (Sulfonation at 160 °C gives the 2-isomer instead: reversible, thermodynamic control — the 1-sulfonic acid suffers a peri-interaction with H8.)</w:t>
      </w:r>
    </w:p>
    <w:p>
      <w:pPr>
        <w:keepNext/>
        <w:spacing w:after="20" w:before="120" w:line="276"/>
      </w:pPr>
      <w:r>
        <w:rPr>
          <w:rFonts w:ascii="Arial" w:cs="Arial" w:eastAsia="Arial" w:hAnsi="Arial"/>
          <w:b/>
          <w:bCs/>
          <w:color w:val="BE123C"/>
          <w:sz w:val="22"/>
          <w:szCs w:val="22"/>
        </w:rPr>
        <w:t xml:space="preserve">C2</w:t>
      </w:r>
      <w:r>
        <w:rPr>
          <w:rFonts w:ascii="Arial" w:cs="Arial" w:eastAsia="Arial" w:hAnsi="Arial"/>
          <w:b/>
          <w:bCs/>
          <w:color w:val="D97706"/>
          <w:sz w:val="18"/>
          <w:szCs w:val="18"/>
        </w:rPr>
        <w:t xml:space="preserve">  ★</w:t>
      </w:r>
      <w:r>
        <w:rPr>
          <w:rFonts w:ascii="Arial" w:cs="Arial" w:eastAsia="Arial" w:hAnsi="Arial"/>
          <w:i/>
          <w:iCs/>
          <w:color w:val="6B7280"/>
          <w:sz w:val="19"/>
          <w:szCs w:val="19"/>
        </w:rPr>
        <w:t xml:space="preserve">   Design a synthesis of 4-nitrobenzoic acid from benzene in three steps. (You may use: CH₃Cl/AlCl₃; HNO₃/H₂SO₄; KMnO₄/H⁺, reflux, wh…</w:t>
      </w:r>
    </w:p>
    <w:p>
      <w:pPr>
        <w:spacing w:after="40" w:before="60" w:line="276"/>
        <w:ind w:left="400"/>
      </w:pPr>
      <w:r>
        <w:rPr>
          <w:rFonts w:ascii="Arial" w:cs="Arial" w:eastAsia="Arial" w:hAnsi="Arial"/>
          <w:color w:val="14532D"/>
          <w:sz w:val="21"/>
          <w:szCs w:val="21"/>
        </w:rPr>
        <w:t xml:space="preserve">1. Benzene + CH₃Cl/AlCl₃ → methylbenzene (Friedel–Crafts alkylation; CH₃ is 2,4-directing). 2. Conc. HNO₃/H₂SO₄, 50 °C → 4-nitromethylbenzene (separate from the 2-isomer). 3. KMnO₄/H⁺, reflux → 4-nitrobenzoic acid. Nitrating first would put NO₂ meta to the later group; Friedel–Crafts on nitrobenzene fails anyway.</w:t>
      </w:r>
    </w:p>
    <w:p>
      <w:pPr>
        <w:keepNext/>
        <w:spacing w:after="20" w:before="120" w:line="276"/>
      </w:pPr>
      <w:r>
        <w:rPr>
          <w:rFonts w:ascii="Arial" w:cs="Arial" w:eastAsia="Arial" w:hAnsi="Arial"/>
          <w:b/>
          <w:bCs/>
          <w:color w:val="BE123C"/>
          <w:sz w:val="22"/>
          <w:szCs w:val="22"/>
        </w:rPr>
        <w:t xml:space="preserve">C3</w:t>
      </w:r>
      <w:r>
        <w:rPr>
          <w:rFonts w:ascii="Arial" w:cs="Arial" w:eastAsia="Arial" w:hAnsi="Arial"/>
          <w:b/>
          <w:bCs/>
          <w:color w:val="D97706"/>
          <w:sz w:val="18"/>
          <w:szCs w:val="18"/>
        </w:rPr>
        <w:t xml:space="preserve">  ★★</w:t>
      </w:r>
      <w:r>
        <w:rPr>
          <w:rFonts w:ascii="Arial" w:cs="Arial" w:eastAsia="Arial" w:hAnsi="Arial"/>
          <w:i/>
          <w:iCs/>
          <w:color w:val="6B7280"/>
          <w:sz w:val="19"/>
          <w:szCs w:val="19"/>
        </w:rPr>
        <w:t xml:space="preserve">   Azulene, C₁₀H₈, is an isomer of naphthalene made of a five-membered ring fused to a seven-membered ring. It is deep blue and has a…</w:t>
      </w:r>
    </w:p>
    <w:p>
      <w:pPr>
        <w:spacing w:after="40" w:before="60" w:line="276"/>
        <w:ind w:left="400"/>
      </w:pPr>
      <w:r>
        <w:rPr>
          <w:rFonts w:ascii="Arial" w:cs="Arial" w:eastAsia="Arial" w:hAnsi="Arial"/>
          <w:color w:val="14532D"/>
          <w:sz w:val="21"/>
          <w:szCs w:val="21"/>
        </w:rPr>
        <w:t xml:space="preserve">Azulene can be drawn as a cyclopentadienyl anion (6 π) fused to a tropylium cation (6 π): moving one electron from the seven-membered ring to the five-membered ring makes BOTH rings aromatic. This charge-separated form contributes significantly, giving a permanent dipole (five-membered ring δ−). Colour: azulene is a NON-alternant hydrocarbon — its HOMO and LUMO are localised on different rings, so the HOMO–LUMO gap is much smaller than in naphthalene (an alternant hydrocarbon of the same size) and the S₀ → S₁ absorption falls at ≈ 580 nm (orange light absorbed → blue seen).</w:t>
      </w:r>
    </w:p>
    <w:p>
      <w:pPr>
        <w:keepNext/>
        <w:spacing w:after="20" w:before="120" w:line="276"/>
      </w:pPr>
      <w:r>
        <w:rPr>
          <w:rFonts w:ascii="Arial" w:cs="Arial" w:eastAsia="Arial" w:hAnsi="Arial"/>
          <w:b/>
          <w:bCs/>
          <w:color w:val="BE123C"/>
          <w:sz w:val="22"/>
          <w:szCs w:val="22"/>
        </w:rPr>
        <w:t xml:space="preserve">C4</w:t>
      </w:r>
      <w:r>
        <w:rPr>
          <w:rFonts w:ascii="Arial" w:cs="Arial" w:eastAsia="Arial" w:hAnsi="Arial"/>
          <w:b/>
          <w:bCs/>
          <w:color w:val="D97706"/>
          <w:sz w:val="18"/>
          <w:szCs w:val="18"/>
        </w:rPr>
        <w:t xml:space="preserve">  ★★</w:t>
      </w:r>
      <w:r>
        <w:rPr>
          <w:rFonts w:ascii="Arial" w:cs="Arial" w:eastAsia="Arial" w:hAnsi="Arial"/>
          <w:i/>
          <w:iCs/>
          <w:color w:val="6B7280"/>
          <w:sz w:val="19"/>
          <w:szCs w:val="19"/>
        </w:rPr>
        <w:t xml:space="preserve">   Sulfonation is reversible: heating an arenesulfonic acid with dilute H₂SO₄ removes the –SO₃H group. Use this to design a synthesis…</w:t>
      </w:r>
    </w:p>
    <w:p>
      <w:pPr>
        <w:spacing w:after="40" w:before="60" w:line="276"/>
        <w:ind w:left="400"/>
      </w:pPr>
      <w:r>
        <w:rPr>
          <w:rFonts w:ascii="Arial" w:cs="Arial" w:eastAsia="Arial" w:hAnsi="Arial"/>
          <w:color w:val="14532D"/>
          <w:sz w:val="21"/>
          <w:szCs w:val="21"/>
        </w:rPr>
        <w:t xml:space="preserve">1. Phenol + conc. H₂SO₄ → 4-hydroxybenzenesulfonic acid (para-sulfonation blocks position 4 and deactivates the ring). 2. Br₂ (one equivalent) → 3-bromo-4-hydroxybenzenesulfonic acid (Br goes ortho to OH). 3. Dilute H₂SO₄, steam → desulfonation → 2-bromophenol. The –SO₃H is a removable 'blocking group'.</w:t>
      </w:r>
    </w:p>
    <w:p>
      <w:pPr>
        <w:keepNext/>
        <w:spacing w:after="20" w:before="120" w:line="276"/>
      </w:pPr>
      <w:r>
        <w:rPr>
          <w:rFonts w:ascii="Arial" w:cs="Arial" w:eastAsia="Arial" w:hAnsi="Arial"/>
          <w:b/>
          <w:bCs/>
          <w:color w:val="BE123C"/>
          <w:sz w:val="22"/>
          <w:szCs w:val="22"/>
        </w:rPr>
        <w:t xml:space="preserve">C5</w:t>
      </w:r>
      <w:r>
        <w:rPr>
          <w:rFonts w:ascii="Arial" w:cs="Arial" w:eastAsia="Arial" w:hAnsi="Arial"/>
          <w:b/>
          <w:bCs/>
          <w:color w:val="D97706"/>
          <w:sz w:val="18"/>
          <w:szCs w:val="18"/>
        </w:rPr>
        <w:t xml:space="preserve">  ★★</w:t>
      </w:r>
      <w:r>
        <w:rPr>
          <w:rFonts w:ascii="Arial" w:cs="Arial" w:eastAsia="Arial" w:hAnsi="Arial"/>
          <w:i/>
          <w:iCs/>
          <w:color w:val="6B7280"/>
          <w:sz w:val="19"/>
          <w:szCs w:val="19"/>
        </w:rPr>
        <w:t xml:space="preserve">   Explain why pyrrole undergoes electrophilic substitution far FASTER than benzene (comparable to phenol) and mainly at C2, whereas…</w:t>
      </w:r>
    </w:p>
    <w:p>
      <w:pPr>
        <w:spacing w:after="40" w:before="60" w:line="276"/>
        <w:ind w:left="400"/>
      </w:pPr>
      <w:r>
        <w:rPr>
          <w:rFonts w:ascii="Arial" w:cs="Arial" w:eastAsia="Arial" w:hAnsi="Arial"/>
          <w:color w:val="14532D"/>
          <w:sz w:val="21"/>
          <w:szCs w:val="21"/>
        </w:rPr>
        <w:t xml:space="preserve">Pyrrole: the N lone pair is part of the 6 π system and is donated into the ring (+M, strongly activating). Attack at C2 gives an intermediate with three resonance forms (charge on N possible), attack at C3 only two → C2 favoured. Pyridine: the electronegative N withdraws electron density (−I); worse, under acidic conditions N is protonated, making the ring strongly deactivated. Attack at C2/C4 puts positive charge on the electronegative N (very unfavourable); C3 avoids this.</w:t>
      </w:r>
    </w:p>
    <w:p>
      <w:pPr>
        <w:keepNext/>
        <w:spacing w:after="20" w:before="120" w:line="276"/>
      </w:pPr>
      <w:r>
        <w:rPr>
          <w:rFonts w:ascii="Arial" w:cs="Arial" w:eastAsia="Arial" w:hAnsi="Arial"/>
          <w:b/>
          <w:bCs/>
          <w:color w:val="BE123C"/>
          <w:sz w:val="22"/>
          <w:szCs w:val="22"/>
        </w:rPr>
        <w:t xml:space="preserve">C6</w:t>
      </w:r>
      <w:r>
        <w:rPr>
          <w:rFonts w:ascii="Arial" w:cs="Arial" w:eastAsia="Arial" w:hAnsi="Arial"/>
          <w:b/>
          <w:bCs/>
          <w:color w:val="D97706"/>
          <w:sz w:val="18"/>
          <w:szCs w:val="18"/>
        </w:rPr>
        <w:t xml:space="preserve">  ★★</w:t>
      </w:r>
      <w:r>
        <w:rPr>
          <w:rFonts w:ascii="Arial" w:cs="Arial" w:eastAsia="Arial" w:hAnsi="Arial"/>
          <w:i/>
          <w:iCs/>
          <w:color w:val="6B7280"/>
          <w:sz w:val="19"/>
          <w:szCs w:val="19"/>
        </w:rPr>
        <w:t xml:space="preserve">   Ibuprofen is made industrially (the BHC process, 1992) in three steps from isobutylbenzene: (1) Friedel–Crafts acylation with etha…</w:t>
      </w:r>
    </w:p>
    <w:p>
      <w:pPr>
        <w:spacing w:after="40" w:before="60" w:line="276"/>
        <w:ind w:left="400"/>
      </w:pPr>
      <w:r>
        <w:rPr>
          <w:rFonts w:ascii="Arial" w:cs="Arial" w:eastAsia="Arial" w:hAnsi="Arial"/>
          <w:color w:val="14532D"/>
          <w:sz w:val="21"/>
          <w:szCs w:val="21"/>
        </w:rPr>
        <w:t xml:space="preserve">Step 1 gives 4-isobutylacetophenone: the isobutyl group is 2,4-directing and bulky, so the acylium ion attacks para (HF is both catalyst and solvent, and is recycled). Step 2: H₂/Raney Ni (or Pd) → 1-(4-isobutylphenyl)ethanol. Step 3: CO, Pd catalyst, H⁺ → the benzylic cation/alkyl-Pd inserts CO → 2-(4-isobutylphenyl)propanoic acid (ibuprofen, racemic). Green credentials: 3 steps instead of 6, atom economy ≈ 77% vs 40% (the Boots route used a chloroacetate ester, hydroxylamine and several stoichiometric reagents whose atoms all ended up as waste), catalytic rather than stoichiometric reagents, HF recovered and reused, and the only by-product of step 1 (ethanoic acid) is recovered.</w:t>
      </w:r>
    </w:p>
    <w:p>
      <w:pPr>
        <w:keepNext/>
        <w:spacing w:after="20" w:before="120" w:line="276"/>
      </w:pPr>
      <w:r>
        <w:rPr>
          <w:rFonts w:ascii="Arial" w:cs="Arial" w:eastAsia="Arial" w:hAnsi="Arial"/>
          <w:b/>
          <w:bCs/>
          <w:color w:val="BE123C"/>
          <w:sz w:val="22"/>
          <w:szCs w:val="22"/>
        </w:rPr>
        <w:t xml:space="preserve">C7</w:t>
      </w:r>
      <w:r>
        <w:rPr>
          <w:rFonts w:ascii="Arial" w:cs="Arial" w:eastAsia="Arial" w:hAnsi="Arial"/>
          <w:b/>
          <w:bCs/>
          <w:color w:val="D97706"/>
          <w:sz w:val="18"/>
          <w:szCs w:val="18"/>
        </w:rPr>
        <w:t xml:space="preserve">  ★★</w:t>
      </w:r>
      <w:r>
        <w:rPr>
          <w:rFonts w:ascii="Arial" w:cs="Arial" w:eastAsia="Arial" w:hAnsi="Arial"/>
          <w:i/>
          <w:iCs/>
          <w:color w:val="6B7280"/>
          <w:sz w:val="19"/>
          <w:szCs w:val="19"/>
        </w:rPr>
        <w:t xml:space="preserve">   Explain why 2,4,6-trinitrotoluene (TNT) is (a) far less reactive towards further electrophilic substitution than toluene, (b) read…</w:t>
      </w:r>
    </w:p>
    <w:p>
      <w:pPr>
        <w:spacing w:after="40" w:before="60" w:line="276"/>
        <w:ind w:left="400"/>
      </w:pPr>
      <w:r>
        <w:rPr>
          <w:rFonts w:ascii="Arial" w:cs="Arial" w:eastAsia="Arial" w:hAnsi="Arial"/>
          <w:color w:val="14532D"/>
          <w:sz w:val="21"/>
          <w:szCs w:val="21"/>
        </w:rPr>
        <w:t xml:space="preserve">(a) Each –NO₂ is strongly −I and −M, so the ring's electron density is drastically reduced; attack by any electrophile is hopeless. (b) The same withdrawal stabilises the benzylic carbanion formed on deprotonating CH₃: the negative charge is delocalised into all three nitro groups (draw the forms with C=C and N=O → N–O⁻), giving a pKₐ in the range of alcohols — TNT forms deep-red 'Meisenheimer-like' anions with bases. (c) The molecule carries its own oxidant: the nitro oxygens oxidise the carbon skeleton to CO, CO₂, N₂ and H₂O in a reaction that is hugely exothermic and produces a large volume of hot gas; the C–NO₂ bonds are weak (≈ 250 kJ mol⁻¹) so initiation is easy. All three properties follow from the nitro group being a powerful electron sink.</w:t>
      </w:r>
    </w:p>
    <w:p>
      <w:pPr>
        <w:keepNext/>
        <w:spacing w:after="20" w:before="120" w:line="276"/>
      </w:pPr>
      <w:r>
        <w:rPr>
          <w:rFonts w:ascii="Arial" w:cs="Arial" w:eastAsia="Arial" w:hAnsi="Arial"/>
          <w:b/>
          <w:bCs/>
          <w:color w:val="BE123C"/>
          <w:sz w:val="22"/>
          <w:szCs w:val="22"/>
        </w:rPr>
        <w:t xml:space="preserve">C8</w:t>
      </w:r>
      <w:r>
        <w:rPr>
          <w:rFonts w:ascii="Arial" w:cs="Arial" w:eastAsia="Arial" w:hAnsi="Arial"/>
          <w:b/>
          <w:bCs/>
          <w:color w:val="D97706"/>
          <w:sz w:val="18"/>
          <w:szCs w:val="18"/>
        </w:rPr>
        <w:t xml:space="preserve">  ★★★</w:t>
      </w:r>
      <w:r>
        <w:rPr>
          <w:rFonts w:ascii="Arial" w:cs="Arial" w:eastAsia="Arial" w:hAnsi="Arial"/>
          <w:i/>
          <w:iCs/>
          <w:color w:val="6B7280"/>
          <w:sz w:val="19"/>
          <w:szCs w:val="19"/>
        </w:rPr>
        <w:t xml:space="preserve">   Compound X, C₈H₉NO₂, gives an orange precipitate with 2,4-dinitrophenylhydrazine, reacts with bromine water without a catalyst, ha…</w:t>
      </w:r>
    </w:p>
    <w:p>
      <w:pPr>
        <w:spacing w:after="40" w:before="60" w:line="276"/>
        <w:ind w:left="400"/>
      </w:pPr>
      <w:r>
        <w:rPr>
          <w:rFonts w:ascii="Arial" w:cs="Arial" w:eastAsia="Arial" w:hAnsi="Arial"/>
          <w:color w:val="14532D"/>
          <w:sz w:val="21"/>
          <w:szCs w:val="21"/>
        </w:rPr>
        <w:t xml:space="preserve">Degrees of unsaturation: (2×8+2+1−9)/2 = 5 → benzene ring (4) + one C=O (1). DNPH positive → aldehyde/ketone; IR 1660 (conjugated C=O) with no aldehyde C–H → aryl ketone; 3450/3350 doublet → primary NH₂; broad 2H singlet exchanging with D₂O → NH₂. Two 2H doublets → 1,4-disubstituted ring; 2.5 ppm singlet → COCH₃. Reacts with Br₂ without catalyst → strongly activated ring (NH₂). X = 4-aminophenylethanone (4-aminoacetophenone). Obvious route 1 — benzene → nitrobenzene → Friedel–Crafts acetylation → reduce: fails, because Friedel–Crafts reactions do not work on the strongly deactivated nitrobenzene ring. Obvious route 2 — benzene → phenylethanone (CH₃COCl/AlCl₃) → nitrate → reduce: fails, because COCH₃ is 3-directing, so nitration gives the 3-nitro (wrong) isomer. Working route: benzene → nitrobenzene (conc. HNO₃/H₂SO₄, 50 °C) → phenylamine (Sn/conc. HCl, then NaOH) → acetanilide (ethanoic anhydride; the NH₂ must be protected because free amines complex AlCl₃ and are oxidised) → Friedel–Crafts acetylation para to –NHCOCH₃ (CH₃COCl/AlCl₃) → hydrolyse the amide (aqueous HCl, heat, then NaOH) → 4-aminoacetophenone. Five steps: the directing effects, not the bond-forming reactions, dictate the order.</w:t>
      </w:r>
    </w:p>
    <w:p>
      <w:pPr>
        <w:keepNext/>
        <w:spacing w:after="20" w:before="120" w:line="276"/>
      </w:pPr>
      <w:r>
        <w:rPr>
          <w:rFonts w:ascii="Arial" w:cs="Arial" w:eastAsia="Arial" w:hAnsi="Arial"/>
          <w:b/>
          <w:bCs/>
          <w:color w:val="BE123C"/>
          <w:sz w:val="22"/>
          <w:szCs w:val="22"/>
        </w:rPr>
        <w:t xml:space="preserve">C9</w:t>
      </w:r>
      <w:r>
        <w:rPr>
          <w:rFonts w:ascii="Arial" w:cs="Arial" w:eastAsia="Arial" w:hAnsi="Arial"/>
          <w:b/>
          <w:bCs/>
          <w:color w:val="D97706"/>
          <w:sz w:val="18"/>
          <w:szCs w:val="18"/>
        </w:rPr>
        <w:t xml:space="preserve">  ★★★</w:t>
      </w:r>
      <w:r>
        <w:rPr>
          <w:rFonts w:ascii="Arial" w:cs="Arial" w:eastAsia="Arial" w:hAnsi="Arial"/>
          <w:i/>
          <w:iCs/>
          <w:color w:val="6B7280"/>
          <w:sz w:val="19"/>
          <w:szCs w:val="19"/>
        </w:rPr>
        <w:t xml:space="preserve">   'Aromaticity is not an observable.' Discuss this statement with reference to at least three different experimental or computationa…</w:t>
      </w:r>
    </w:p>
    <w:p>
      <w:pPr>
        <w:spacing w:after="40" w:before="60" w:line="276"/>
        <w:ind w:left="400"/>
      </w:pPr>
      <w:r>
        <w:rPr>
          <w:rFonts w:ascii="Arial" w:cs="Arial" w:eastAsia="Arial" w:hAnsi="Arial"/>
          <w:color w:val="14532D"/>
          <w:sz w:val="21"/>
          <w:szCs w:val="21"/>
        </w:rPr>
        <w:t xml:space="preserve">Aromaticity is a model-dependent concept: it is inferred from energetic criteria (resonance/aromatic stabilisation energy — but the number depends on the reference compound chosen), structural criteria (bond-length equalisation — but strain or substituents can equalise bonds without delocalisation), magnetic criteria (ring currents in NMR, magnetic susceptibility exaltation, NICS — but NICS is a computed quantity at a fictitious point, and σ-electron contributions contaminate it) and reactivity criteria (substitution over addition — but kinetics also depend on the electrophile). Disagreements: cyclooctatetraene dianion is aromatic by all criteria, but [16]annulene is 'antiaromatic' magnetically (paratropic) while being only slightly destabilised energetically; borazine, B₃N₃H₆, has equal bond lengths and a planar 6 π ring but a tiny ring current and alkene-like reactivity — 'aromatic' by structure, 'non-aromatic' by magnetism and chemistry. Conclusion: no single measurement defines it; chemists use a cluster of criteria and accept that 'how aromatic' is a question with several answers.</w:t>
      </w:r>
    </w:p>
    <w:sectPr>
      <w:headerReference w:type="default" r:id="rId7"/>
      <w:footerReference w:type="default" r:id="rId8"/>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Arial" w:cs="Arial" w:eastAsia="Arial" w:hAnsi="Arial"/>
        <w:color w:val="6B7280"/>
        <w:sz w:val="18"/>
        <w:szCs w:val="18"/>
      </w:rPr>
      <w:t xml:space="preserve">Page </w:t>
    </w:r>
    <w:r>
      <w:rPr>
        <w:rFonts w:ascii="Arial" w:cs="Arial" w:eastAsia="Arial" w:hAnsi="Arial"/>
        <w:color w:val="6B7280"/>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tabs>
        <w:tab w:val="right" w:pos="9640"/>
      </w:tabs>
      <w:spacing w:after="0" w:before="0" w:line="276"/>
    </w:pPr>
    <w:r>
      <w:rPr>
        <w:rFonts w:ascii="Arial" w:cs="Arial" w:eastAsia="Arial" w:hAnsi="Arial"/>
        <w:color w:val="6B7280"/>
        <w:sz w:val="18"/>
        <w:szCs w:val="18"/>
      </w:rPr>
      <w:t xml:space="preserve">Aromatic Chemistry · Stretch Pack (beyond OCR A 6.1.1)</w:t>
    </w:r>
    <w:r>
      <w:rPr>
        <w:rFonts w:ascii="Arial" w:cs="Arial" w:eastAsia="Arial" w:hAnsi="Arial"/>
        <w:b/>
        <w:bCs/>
        <w:color w:val="6B7280"/>
        <w:sz w:val="18"/>
        <w:szCs w:val="18"/>
      </w:rPr>
      <w:t xml:space="preserve">	DEGREE-LEVEL EXTENSION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F2937"/>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image" Target="media/67ab272306701a2cecbc814153ae56170177d563.png"/><Relationship Id="rId10" Type="http://schemas.openxmlformats.org/officeDocument/2006/relationships/image" Target="media/71aa0be753444936bb33748964c45096cc8612c5.png"/><Relationship Id="rId11" Type="http://schemas.openxmlformats.org/officeDocument/2006/relationships/image" Target="media/c87f4fd97e5a4bb6cbb758548db6464f20f94918.png"/><Relationship Id="rId12" Type="http://schemas.openxmlformats.org/officeDocument/2006/relationships/image" Target="media/30774429dbf7deedc73f9e4c38aa6dd68d7d417b.png"/><Relationship Id="rId13" Type="http://schemas.openxmlformats.org/officeDocument/2006/relationships/image" Target="media/d4aa6e6ea0d22a4d2a279d8d35693f39917f58ef.png"/><Relationship Id="rId14" Type="http://schemas.openxmlformats.org/officeDocument/2006/relationships/image" Target="media/179be2cf250a560c3a118b81667e5d10d494bd0d.png"/><Relationship Id="rId15" Type="http://schemas.openxmlformats.org/officeDocument/2006/relationships/image" Target="media/8af92e5aad396270c576b4ac400913150047e184.png"/><Relationship Id="rId16" Type="http://schemas.openxmlformats.org/officeDocument/2006/relationships/image" Target="media/ae66d4666b2fea53725f2e2dfdc89a4d23552d02.png"/><Relationship Id="rId17" Type="http://schemas.openxmlformats.org/officeDocument/2006/relationships/image" Target="media/b8613a524bfff125c271fd597da11c8b89a904ed.png"/><Relationship Id="rId18" Type="http://schemas.openxmlformats.org/officeDocument/2006/relationships/image" Target="media/2c926d924e3f739d2e033152f8856201d0e5e289.png"/><Relationship Id="rId1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Aromatic Chemistry — Stretch Pack (degree level)</dc:title>
  <dc:creator>Dr J. Fennell</dc:creator>
  <cp:lastModifiedBy>Un-named</cp:lastModifiedBy>
  <cp:revision>1</cp:revision>
  <dcterms:created xsi:type="dcterms:W3CDTF">2026-09-03T09:47:14.392Z</dcterms:created>
  <dcterms:modified xsi:type="dcterms:W3CDTF">2026-09-03T09:47:14.392Z</dcterms:modified>
</cp:coreProperties>
</file>

<file path=docProps/custom.xml><?xml version="1.0" encoding="utf-8"?>
<Properties xmlns="http://schemas.openxmlformats.org/officeDocument/2006/custom-properties" xmlns:vt="http://schemas.openxmlformats.org/officeDocument/2006/docPropsVTypes"/>
</file>